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4E67B" w14:textId="05D89645" w:rsidR="00511360" w:rsidRDefault="00511360" w:rsidP="00511360">
      <w:pPr>
        <w:pBdr>
          <w:top w:val="dotted" w:sz="6" w:space="31" w:color="C7C4C0"/>
        </w:pBdr>
        <w:spacing w:after="0" w:line="240" w:lineRule="auto"/>
        <w:jc w:val="center"/>
        <w:textAlignment w:val="baseline"/>
        <w:outlineLvl w:val="2"/>
        <w:rPr>
          <w:rFonts w:asciiTheme="majorBidi" w:eastAsia="Times New Roman" w:hAnsiTheme="majorBidi" w:cstheme="majorBidi"/>
          <w:b/>
          <w:bCs/>
          <w:caps/>
          <w:sz w:val="24"/>
          <w:szCs w:val="24"/>
          <w:bdr w:val="none" w:sz="0" w:space="0" w:color="auto" w:frame="1"/>
          <w:lang w:eastAsia="fr-FR"/>
        </w:rPr>
      </w:pPr>
      <w:r>
        <w:rPr>
          <w:rFonts w:asciiTheme="majorBidi" w:eastAsia="Times New Roman" w:hAnsiTheme="majorBidi" w:cstheme="majorBidi"/>
          <w:b/>
          <w:bCs/>
          <w:caps/>
          <w:sz w:val="24"/>
          <w:szCs w:val="24"/>
          <w:bdr w:val="none" w:sz="0" w:space="0" w:color="auto" w:frame="1"/>
          <w:lang w:eastAsia="fr-FR"/>
        </w:rPr>
        <w:t>Les globules rouges</w:t>
      </w:r>
    </w:p>
    <w:p w14:paraId="45D419C4" w14:textId="4A35F997" w:rsidR="00A55DFF" w:rsidRPr="006A22FC" w:rsidRDefault="00A55DFF" w:rsidP="00C92CAE">
      <w:pPr>
        <w:pBdr>
          <w:top w:val="dotted" w:sz="6" w:space="31" w:color="C7C4C0"/>
        </w:pBdr>
        <w:spacing w:after="0" w:line="240" w:lineRule="auto"/>
        <w:jc w:val="both"/>
        <w:textAlignment w:val="baseline"/>
        <w:outlineLvl w:val="2"/>
        <w:rPr>
          <w:rFonts w:asciiTheme="majorBidi" w:eastAsia="Times New Roman" w:hAnsiTheme="majorBidi" w:cstheme="majorBidi"/>
          <w:b/>
          <w:bCs/>
          <w:caps/>
          <w:sz w:val="24"/>
          <w:szCs w:val="24"/>
          <w:lang w:eastAsia="fr-FR"/>
        </w:rPr>
      </w:pPr>
      <w:r w:rsidRPr="006A22FC">
        <w:rPr>
          <w:rFonts w:asciiTheme="majorBidi" w:eastAsia="Times New Roman" w:hAnsiTheme="majorBidi" w:cstheme="majorBidi"/>
          <w:b/>
          <w:bCs/>
          <w:caps/>
          <w:sz w:val="24"/>
          <w:szCs w:val="24"/>
          <w:bdr w:val="none" w:sz="0" w:space="0" w:color="auto" w:frame="1"/>
          <w:lang w:eastAsia="fr-FR"/>
        </w:rPr>
        <w:t>INTRODUCTION</w:t>
      </w:r>
    </w:p>
    <w:p w14:paraId="74ED53CF" w14:textId="6850436C"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p>
    <w:p w14:paraId="4FB523B6" w14:textId="3762E74D"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Le globule rouge (GR) ou hématie ou érythrocyte est une cellule anucléée qui contient une solution d'</w:t>
      </w:r>
      <w:r w:rsidRPr="006A22FC">
        <w:rPr>
          <w:rFonts w:asciiTheme="majorBidi" w:eastAsia="Times New Roman" w:hAnsiTheme="majorBidi" w:cstheme="majorBidi"/>
          <w:b/>
          <w:bCs/>
          <w:sz w:val="24"/>
          <w:szCs w:val="24"/>
          <w:bdr w:val="none" w:sz="0" w:space="0" w:color="auto" w:frame="1"/>
          <w:lang w:eastAsia="fr-FR"/>
        </w:rPr>
        <w:t>hémoglobine</w:t>
      </w:r>
      <w:r w:rsidRPr="006A22FC">
        <w:rPr>
          <w:rFonts w:asciiTheme="majorBidi" w:eastAsia="Times New Roman" w:hAnsiTheme="majorBidi" w:cstheme="majorBidi"/>
          <w:sz w:val="24"/>
          <w:szCs w:val="24"/>
          <w:lang w:eastAsia="fr-FR"/>
        </w:rPr>
        <w:t> (</w:t>
      </w:r>
      <w:proofErr w:type="spellStart"/>
      <w:r w:rsidRPr="006A22FC">
        <w:rPr>
          <w:rFonts w:asciiTheme="majorBidi" w:eastAsia="Times New Roman" w:hAnsiTheme="majorBidi" w:cstheme="majorBidi"/>
          <w:sz w:val="24"/>
          <w:szCs w:val="24"/>
          <w:lang w:eastAsia="fr-FR"/>
        </w:rPr>
        <w:t>Hb</w:t>
      </w:r>
      <w:proofErr w:type="spellEnd"/>
      <w:proofErr w:type="gramStart"/>
      <w:r w:rsidRPr="006A22FC">
        <w:rPr>
          <w:rFonts w:asciiTheme="majorBidi" w:eastAsia="Times New Roman" w:hAnsiTheme="majorBidi" w:cstheme="majorBidi"/>
          <w:sz w:val="24"/>
          <w:szCs w:val="24"/>
          <w:lang w:eastAsia="fr-FR"/>
        </w:rPr>
        <w:t>):</w:t>
      </w:r>
      <w:proofErr w:type="gramEnd"/>
      <w:r w:rsidRPr="006A22FC">
        <w:rPr>
          <w:rFonts w:asciiTheme="majorBidi" w:eastAsia="Times New Roman" w:hAnsiTheme="majorBidi" w:cstheme="majorBidi"/>
          <w:sz w:val="24"/>
          <w:szCs w:val="24"/>
          <w:lang w:eastAsia="fr-FR"/>
        </w:rPr>
        <w:t xml:space="preserve"> c'est ce pigment respiratoire qui transporte l'oxygène des poumons vers les tissus et est responsable de la fonction de l'hématie.</w:t>
      </w:r>
    </w:p>
    <w:p w14:paraId="7327CC2A" w14:textId="6A3766E4"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p>
    <w:p w14:paraId="58D0594C" w14:textId="7383507A" w:rsidR="00A55DFF" w:rsidRPr="006A22FC" w:rsidRDefault="00A55DFF" w:rsidP="00C92CAE">
      <w:pPr>
        <w:pStyle w:val="Paragraphedeliste"/>
        <w:numPr>
          <w:ilvl w:val="0"/>
          <w:numId w:val="1"/>
        </w:num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Il provient des </w:t>
      </w:r>
      <w:r w:rsidRPr="006A22FC">
        <w:rPr>
          <w:rFonts w:asciiTheme="majorBidi" w:eastAsia="Times New Roman" w:hAnsiTheme="majorBidi" w:cstheme="majorBidi"/>
          <w:b/>
          <w:bCs/>
          <w:sz w:val="24"/>
          <w:szCs w:val="24"/>
          <w:bdr w:val="none" w:sz="0" w:space="0" w:color="auto" w:frame="1"/>
          <w:lang w:eastAsia="fr-FR"/>
        </w:rPr>
        <w:t>érythroblastes</w:t>
      </w:r>
      <w:r w:rsidRPr="006A22FC">
        <w:rPr>
          <w:rFonts w:asciiTheme="majorBidi" w:eastAsia="Times New Roman" w:hAnsiTheme="majorBidi" w:cstheme="majorBidi"/>
          <w:sz w:val="24"/>
          <w:szCs w:val="24"/>
          <w:lang w:eastAsia="fr-FR"/>
        </w:rPr>
        <w:t> de la moelle osseuse, et de la maturation finale du </w:t>
      </w:r>
      <w:r w:rsidRPr="006A22FC">
        <w:rPr>
          <w:rFonts w:asciiTheme="majorBidi" w:eastAsia="Times New Roman" w:hAnsiTheme="majorBidi" w:cstheme="majorBidi"/>
          <w:b/>
          <w:bCs/>
          <w:sz w:val="24"/>
          <w:szCs w:val="24"/>
          <w:bdr w:val="none" w:sz="0" w:space="0" w:color="auto" w:frame="1"/>
          <w:lang w:eastAsia="fr-FR"/>
        </w:rPr>
        <w:t>réticulocyte</w:t>
      </w:r>
      <w:r w:rsidRPr="006A22FC">
        <w:rPr>
          <w:rFonts w:asciiTheme="majorBidi" w:eastAsia="Times New Roman" w:hAnsiTheme="majorBidi" w:cstheme="majorBidi"/>
          <w:sz w:val="24"/>
          <w:szCs w:val="24"/>
          <w:lang w:eastAsia="fr-FR"/>
        </w:rPr>
        <w:t>.</w:t>
      </w:r>
    </w:p>
    <w:p w14:paraId="02EB78EF" w14:textId="61130EC0" w:rsidR="00A55DFF" w:rsidRPr="006A22FC" w:rsidRDefault="00E66F3F" w:rsidP="00C92CAE">
      <w:pPr>
        <w:spacing w:after="0" w:line="240" w:lineRule="auto"/>
        <w:ind w:firstLine="360"/>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w:t>
      </w:r>
      <w:r w:rsidR="00A55DFF" w:rsidRPr="006A22FC">
        <w:rPr>
          <w:rFonts w:asciiTheme="majorBidi" w:eastAsia="Times New Roman" w:hAnsiTheme="majorBidi" w:cstheme="majorBidi"/>
          <w:sz w:val="24"/>
          <w:szCs w:val="24"/>
          <w:lang w:eastAsia="fr-FR"/>
        </w:rPr>
        <w:t>Un </w:t>
      </w:r>
      <w:r w:rsidR="00A55DFF" w:rsidRPr="006A22FC">
        <w:rPr>
          <w:rFonts w:asciiTheme="majorBidi" w:eastAsia="Times New Roman" w:hAnsiTheme="majorBidi" w:cstheme="majorBidi"/>
          <w:b/>
          <w:bCs/>
          <w:sz w:val="24"/>
          <w:szCs w:val="24"/>
          <w:bdr w:val="none" w:sz="0" w:space="0" w:color="auto" w:frame="1"/>
          <w:lang w:eastAsia="fr-FR"/>
        </w:rPr>
        <w:t>système enzymatique</w:t>
      </w:r>
      <w:r w:rsidR="00A55DFF" w:rsidRPr="006A22FC">
        <w:rPr>
          <w:rFonts w:asciiTheme="majorBidi" w:eastAsia="Times New Roman" w:hAnsiTheme="majorBidi" w:cstheme="majorBidi"/>
          <w:sz w:val="24"/>
          <w:szCs w:val="24"/>
          <w:lang w:eastAsia="fr-FR"/>
        </w:rPr>
        <w:t xml:space="preserve"> interne </w:t>
      </w:r>
      <w:proofErr w:type="gramStart"/>
      <w:r w:rsidR="00A55DFF" w:rsidRPr="006A22FC">
        <w:rPr>
          <w:rFonts w:asciiTheme="majorBidi" w:eastAsia="Times New Roman" w:hAnsiTheme="majorBidi" w:cstheme="majorBidi"/>
          <w:sz w:val="24"/>
          <w:szCs w:val="24"/>
          <w:lang w:eastAsia="fr-FR"/>
        </w:rPr>
        <w:t>relié</w:t>
      </w:r>
      <w:proofErr w:type="gramEnd"/>
      <w:r w:rsidR="00A55DFF" w:rsidRPr="006A22FC">
        <w:rPr>
          <w:rFonts w:asciiTheme="majorBidi" w:eastAsia="Times New Roman" w:hAnsiTheme="majorBidi" w:cstheme="majorBidi"/>
          <w:sz w:val="24"/>
          <w:szCs w:val="24"/>
          <w:lang w:eastAsia="fr-FR"/>
        </w:rPr>
        <w:t xml:space="preserve"> à la glycolyse assure la protection de l'</w:t>
      </w:r>
      <w:proofErr w:type="spellStart"/>
      <w:r w:rsidR="00A55DFF" w:rsidRPr="006A22FC">
        <w:rPr>
          <w:rFonts w:asciiTheme="majorBidi" w:eastAsia="Times New Roman" w:hAnsiTheme="majorBidi" w:cstheme="majorBidi"/>
          <w:sz w:val="24"/>
          <w:szCs w:val="24"/>
          <w:lang w:eastAsia="fr-FR"/>
        </w:rPr>
        <w:t>Hb</w:t>
      </w:r>
      <w:proofErr w:type="spellEnd"/>
      <w:r w:rsidR="00A55DFF" w:rsidRPr="006A22FC">
        <w:rPr>
          <w:rFonts w:asciiTheme="majorBidi" w:eastAsia="Times New Roman" w:hAnsiTheme="majorBidi" w:cstheme="majorBidi"/>
          <w:sz w:val="24"/>
          <w:szCs w:val="24"/>
          <w:lang w:eastAsia="fr-FR"/>
        </w:rPr>
        <w:t xml:space="preserve"> et de la </w:t>
      </w:r>
      <w:r w:rsidR="00A55DFF" w:rsidRPr="006A22FC">
        <w:rPr>
          <w:rFonts w:asciiTheme="majorBidi" w:eastAsia="Times New Roman" w:hAnsiTheme="majorBidi" w:cstheme="majorBidi"/>
          <w:b/>
          <w:bCs/>
          <w:sz w:val="24"/>
          <w:szCs w:val="24"/>
          <w:bdr w:val="none" w:sz="0" w:space="0" w:color="auto" w:frame="1"/>
          <w:lang w:eastAsia="fr-FR"/>
        </w:rPr>
        <w:t>membrane</w:t>
      </w:r>
      <w:r w:rsidR="00A55DFF" w:rsidRPr="006A22FC">
        <w:rPr>
          <w:rFonts w:asciiTheme="majorBidi" w:eastAsia="Times New Roman" w:hAnsiTheme="majorBidi" w:cstheme="majorBidi"/>
          <w:sz w:val="24"/>
          <w:szCs w:val="24"/>
          <w:lang w:eastAsia="fr-FR"/>
        </w:rPr>
        <w:t> contre l'oxydation.</w:t>
      </w:r>
    </w:p>
    <w:p w14:paraId="57B2DFB3" w14:textId="77777777" w:rsidR="00A55DFF" w:rsidRPr="006A22FC" w:rsidRDefault="00A55DFF" w:rsidP="00C92CAE">
      <w:pPr>
        <w:spacing w:after="0" w:line="240" w:lineRule="auto"/>
        <w:ind w:firstLine="360"/>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Sa durée de vie est d’environ 120 jours.</w:t>
      </w:r>
    </w:p>
    <w:p w14:paraId="5DFDE65C" w14:textId="46CA985E"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r w:rsidRPr="006A22FC">
        <w:rPr>
          <w:rFonts w:asciiTheme="majorBidi" w:eastAsia="Times New Roman" w:hAnsiTheme="majorBidi" w:cstheme="majorBidi"/>
          <w:b/>
          <w:bCs/>
          <w:sz w:val="24"/>
          <w:szCs w:val="24"/>
          <w:bdr w:val="none" w:sz="0" w:space="0" w:color="auto" w:frame="1"/>
          <w:lang w:eastAsia="fr-FR"/>
        </w:rPr>
        <w:t>1. Morphologie générale et données quantitatives</w:t>
      </w:r>
    </w:p>
    <w:p w14:paraId="707B45F0" w14:textId="77777777" w:rsidR="00A55DFF" w:rsidRPr="006A22FC" w:rsidRDefault="00A55DFF" w:rsidP="00C92CAE">
      <w:pPr>
        <w:spacing w:after="0" w:line="240" w:lineRule="auto"/>
        <w:ind w:firstLine="708"/>
        <w:jc w:val="both"/>
        <w:textAlignment w:val="baseline"/>
        <w:outlineLvl w:val="3"/>
        <w:rPr>
          <w:rFonts w:asciiTheme="majorBidi" w:eastAsia="Times New Roman" w:hAnsiTheme="majorBidi" w:cstheme="majorBidi"/>
          <w:b/>
          <w:bCs/>
          <w:sz w:val="24"/>
          <w:szCs w:val="24"/>
          <w:lang w:eastAsia="fr-FR"/>
        </w:rPr>
      </w:pPr>
      <w:r w:rsidRPr="006A22FC">
        <w:rPr>
          <w:rFonts w:asciiTheme="majorBidi" w:eastAsia="Times New Roman" w:hAnsiTheme="majorBidi" w:cstheme="majorBidi"/>
          <w:b/>
          <w:bCs/>
          <w:sz w:val="24"/>
          <w:szCs w:val="24"/>
          <w:bdr w:val="none" w:sz="0" w:space="0" w:color="auto" w:frame="1"/>
          <w:lang w:eastAsia="fr-FR"/>
        </w:rPr>
        <w:t>1.1. Morphologie</w:t>
      </w:r>
    </w:p>
    <w:tbl>
      <w:tblPr>
        <w:tblW w:w="0" w:type="auto"/>
        <w:tblCellMar>
          <w:left w:w="0" w:type="dxa"/>
          <w:right w:w="0" w:type="dxa"/>
        </w:tblCellMar>
        <w:tblLook w:val="04A0" w:firstRow="1" w:lastRow="0" w:firstColumn="1" w:lastColumn="0" w:noHBand="0" w:noVBand="1"/>
      </w:tblPr>
      <w:tblGrid>
        <w:gridCol w:w="4549"/>
        <w:gridCol w:w="4523"/>
      </w:tblGrid>
      <w:tr w:rsidR="00C92CAE" w:rsidRPr="006A22FC" w14:paraId="1396C19E" w14:textId="77777777" w:rsidTr="00A55DFF">
        <w:tc>
          <w:tcPr>
            <w:tcW w:w="0" w:type="auto"/>
            <w:tcBorders>
              <w:top w:val="nil"/>
              <w:left w:val="nil"/>
              <w:bottom w:val="nil"/>
              <w:right w:val="nil"/>
            </w:tcBorders>
            <w:hideMark/>
          </w:tcPr>
          <w:p w14:paraId="44370551" w14:textId="0175808C" w:rsidR="00A55DFF" w:rsidRPr="006A22FC" w:rsidRDefault="00A55DFF" w:rsidP="00C92CAE">
            <w:pPr>
              <w:spacing w:after="0" w:line="240" w:lineRule="auto"/>
              <w:jc w:val="both"/>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r w:rsidRPr="006A22FC">
              <w:rPr>
                <w:rFonts w:asciiTheme="majorBidi" w:eastAsia="Times New Roman" w:hAnsiTheme="majorBidi" w:cstheme="majorBidi"/>
                <w:noProof/>
                <w:sz w:val="24"/>
                <w:szCs w:val="24"/>
                <w:bdr w:val="none" w:sz="0" w:space="0" w:color="auto" w:frame="1"/>
                <w:lang w:eastAsia="fr-FR"/>
              </w:rPr>
              <w:drawing>
                <wp:inline distT="0" distB="0" distL="0" distR="0" wp14:anchorId="500B2F0E" wp14:editId="6CFB5840">
                  <wp:extent cx="3228975" cy="2228850"/>
                  <wp:effectExtent l="0" t="0" r="9525" b="0"/>
                  <wp:docPr id="8" name="Image 8" descr="GR dans les vaisseaux sanguins = petits disques souvent biconcaves, de 2µm d’épaisseur et 7µm de diamètre">
                    <a:hlinkClick xmlns:a="http://schemas.openxmlformats.org/drawingml/2006/main" r:id="rId7" tooltip="&quot;GR dans les vaisseaux sanguins = petits disques souvent biconcaves, de 2µm d’épaisseur et 7µm de diamèt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 dans les vaisseaux sanguins = petits disques souvent biconcaves, de 2µm d’épaisseur et 7µm de diamètre">
                            <a:hlinkClick r:id="rId7" tooltip="&quot;GR dans les vaisseaux sanguins = petits disques souvent biconcaves, de 2µm d’épaisseur et 7µm de diamètre&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8975" cy="2228850"/>
                          </a:xfrm>
                          <a:prstGeom prst="rect">
                            <a:avLst/>
                          </a:prstGeom>
                          <a:noFill/>
                          <a:ln>
                            <a:noFill/>
                          </a:ln>
                        </pic:spPr>
                      </pic:pic>
                    </a:graphicData>
                  </a:graphic>
                </wp:inline>
              </w:drawing>
            </w:r>
          </w:p>
        </w:tc>
        <w:tc>
          <w:tcPr>
            <w:tcW w:w="0" w:type="auto"/>
            <w:tcBorders>
              <w:top w:val="nil"/>
              <w:left w:val="nil"/>
              <w:bottom w:val="nil"/>
              <w:right w:val="nil"/>
            </w:tcBorders>
            <w:hideMark/>
          </w:tcPr>
          <w:p w14:paraId="0DD3DB75" w14:textId="023F062C" w:rsidR="00A55DFF" w:rsidRPr="006A22FC" w:rsidRDefault="00A55DFF" w:rsidP="00C92CAE">
            <w:pPr>
              <w:spacing w:after="0" w:line="240" w:lineRule="auto"/>
              <w:jc w:val="both"/>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r w:rsidRPr="006A22FC">
              <w:rPr>
                <w:rFonts w:asciiTheme="majorBidi" w:eastAsia="Times New Roman" w:hAnsiTheme="majorBidi" w:cstheme="majorBidi"/>
                <w:noProof/>
                <w:sz w:val="24"/>
                <w:szCs w:val="24"/>
                <w:bdr w:val="none" w:sz="0" w:space="0" w:color="auto" w:frame="1"/>
                <w:lang w:eastAsia="fr-FR"/>
              </w:rPr>
              <w:drawing>
                <wp:inline distT="0" distB="0" distL="0" distR="0" wp14:anchorId="5818FA4F" wp14:editId="531FB3BC">
                  <wp:extent cx="3209925" cy="2305050"/>
                  <wp:effectExtent l="0" t="0" r="9525" b="0"/>
                  <wp:docPr id="7" name="Image 7" descr="GR sur frottis sanguin coloré = petits éléments sans noyau ayant l’aspect d’un disque avec centre clair">
                    <a:hlinkClick xmlns:a="http://schemas.openxmlformats.org/drawingml/2006/main" r:id="rId9" tooltip="&quot;GR sur frottis sanguin coloré = petits éléments sans noyau ayant l’aspect d’un disque avec centre clai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 sur frottis sanguin coloré = petits éléments sans noyau ayant l’aspect d’un disque avec centre clair">
                            <a:hlinkClick r:id="rId9" tooltip="&quot;GR sur frottis sanguin coloré = petits éléments sans noyau ayant l’aspect d’un disque avec centre clair&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9925" cy="2305050"/>
                          </a:xfrm>
                          <a:prstGeom prst="rect">
                            <a:avLst/>
                          </a:prstGeom>
                          <a:noFill/>
                          <a:ln>
                            <a:noFill/>
                          </a:ln>
                        </pic:spPr>
                      </pic:pic>
                    </a:graphicData>
                  </a:graphic>
                </wp:inline>
              </w:drawing>
            </w:r>
          </w:p>
        </w:tc>
      </w:tr>
      <w:tr w:rsidR="00C92CAE" w:rsidRPr="006A22FC" w14:paraId="7B512127" w14:textId="77777777" w:rsidTr="00A55DFF">
        <w:tc>
          <w:tcPr>
            <w:tcW w:w="0" w:type="auto"/>
            <w:tcBorders>
              <w:top w:val="nil"/>
              <w:left w:val="nil"/>
              <w:bottom w:val="nil"/>
              <w:right w:val="nil"/>
            </w:tcBorders>
            <w:hideMark/>
          </w:tcPr>
          <w:p w14:paraId="71D3685E" w14:textId="77777777" w:rsidR="006A22FC" w:rsidRDefault="00A55DFF" w:rsidP="006A22FC">
            <w:pPr>
              <w:spacing w:after="0" w:line="240" w:lineRule="auto"/>
              <w:jc w:val="center"/>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GR dans les vaisseaux sanguins = petits disques souvent</w:t>
            </w:r>
          </w:p>
          <w:p w14:paraId="198E8106" w14:textId="0DE6FF0E" w:rsidR="00A55DFF" w:rsidRPr="006A22FC" w:rsidRDefault="00A55DFF" w:rsidP="006A22FC">
            <w:pPr>
              <w:spacing w:after="0" w:line="240" w:lineRule="auto"/>
              <w:jc w:val="center"/>
              <w:rPr>
                <w:rFonts w:asciiTheme="majorBidi" w:eastAsia="Times New Roman" w:hAnsiTheme="majorBidi" w:cstheme="majorBidi"/>
                <w:sz w:val="24"/>
                <w:szCs w:val="24"/>
                <w:lang w:eastAsia="fr-FR"/>
              </w:rPr>
            </w:pPr>
            <w:proofErr w:type="gramStart"/>
            <w:r w:rsidRPr="006A22FC">
              <w:rPr>
                <w:rFonts w:asciiTheme="majorBidi" w:eastAsia="Times New Roman" w:hAnsiTheme="majorBidi" w:cstheme="majorBidi"/>
                <w:sz w:val="24"/>
                <w:szCs w:val="24"/>
                <w:lang w:eastAsia="fr-FR"/>
              </w:rPr>
              <w:t>biconcaves</w:t>
            </w:r>
            <w:proofErr w:type="gramEnd"/>
            <w:r w:rsidRPr="006A22FC">
              <w:rPr>
                <w:rFonts w:asciiTheme="majorBidi" w:eastAsia="Times New Roman" w:hAnsiTheme="majorBidi" w:cstheme="majorBidi"/>
                <w:sz w:val="24"/>
                <w:szCs w:val="24"/>
                <w:lang w:eastAsia="fr-FR"/>
              </w:rPr>
              <w:t>, de 2µm d’épaisseur et 7µm de diamètre</w:t>
            </w:r>
          </w:p>
        </w:tc>
        <w:tc>
          <w:tcPr>
            <w:tcW w:w="0" w:type="auto"/>
            <w:tcBorders>
              <w:top w:val="nil"/>
              <w:left w:val="nil"/>
              <w:bottom w:val="nil"/>
              <w:right w:val="nil"/>
            </w:tcBorders>
            <w:hideMark/>
          </w:tcPr>
          <w:p w14:paraId="358E95B0" w14:textId="77777777" w:rsidR="006A22FC" w:rsidRDefault="00A55DFF" w:rsidP="006A22FC">
            <w:pPr>
              <w:spacing w:after="0" w:line="240" w:lineRule="auto"/>
              <w:jc w:val="center"/>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GR sur frottis sanguin coloré = petits éléments sans noyau</w:t>
            </w:r>
          </w:p>
          <w:p w14:paraId="0AF8869E" w14:textId="003CBF96" w:rsidR="00A55DFF" w:rsidRPr="006A22FC" w:rsidRDefault="00A55DFF" w:rsidP="006A22FC">
            <w:pPr>
              <w:spacing w:after="0" w:line="240" w:lineRule="auto"/>
              <w:jc w:val="center"/>
              <w:rPr>
                <w:rFonts w:asciiTheme="majorBidi" w:eastAsia="Times New Roman" w:hAnsiTheme="majorBidi" w:cstheme="majorBidi"/>
                <w:sz w:val="24"/>
                <w:szCs w:val="24"/>
                <w:lang w:eastAsia="fr-FR"/>
              </w:rPr>
            </w:pPr>
            <w:proofErr w:type="gramStart"/>
            <w:r w:rsidRPr="006A22FC">
              <w:rPr>
                <w:rFonts w:asciiTheme="majorBidi" w:eastAsia="Times New Roman" w:hAnsiTheme="majorBidi" w:cstheme="majorBidi"/>
                <w:sz w:val="24"/>
                <w:szCs w:val="24"/>
                <w:lang w:eastAsia="fr-FR"/>
              </w:rPr>
              <w:t>ayant</w:t>
            </w:r>
            <w:proofErr w:type="gramEnd"/>
            <w:r w:rsidRPr="006A22FC">
              <w:rPr>
                <w:rFonts w:asciiTheme="majorBidi" w:eastAsia="Times New Roman" w:hAnsiTheme="majorBidi" w:cstheme="majorBidi"/>
                <w:sz w:val="24"/>
                <w:szCs w:val="24"/>
                <w:lang w:eastAsia="fr-FR"/>
              </w:rPr>
              <w:t xml:space="preserve"> l’aspect d’un disque avec centre clair</w:t>
            </w:r>
          </w:p>
        </w:tc>
      </w:tr>
    </w:tbl>
    <w:p w14:paraId="14B18839" w14:textId="2D23933D"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A l'état normal le GR ne contient pas d'inclusions visibles sur frottis de sang coloré au MGG.</w:t>
      </w:r>
    </w:p>
    <w:p w14:paraId="645A8D42"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En pathologie, diverses anomalies peuvent s'observer (</w:t>
      </w:r>
      <w:r w:rsidRPr="006A22FC">
        <w:rPr>
          <w:rFonts w:asciiTheme="majorBidi" w:eastAsia="Times New Roman" w:hAnsiTheme="majorBidi" w:cstheme="majorBidi"/>
          <w:b/>
          <w:bCs/>
          <w:i/>
          <w:iCs/>
          <w:sz w:val="24"/>
          <w:szCs w:val="24"/>
          <w:bdr w:val="none" w:sz="0" w:space="0" w:color="auto" w:frame="1"/>
          <w:lang w:eastAsia="fr-FR"/>
        </w:rPr>
        <w:t>voir : aspect morphologique des hématies sur frottis sanguin</w:t>
      </w:r>
      <w:r w:rsidRPr="006A22FC">
        <w:rPr>
          <w:rFonts w:asciiTheme="majorBidi" w:eastAsia="Times New Roman" w:hAnsiTheme="majorBidi" w:cstheme="majorBidi"/>
          <w:sz w:val="24"/>
          <w:szCs w:val="24"/>
          <w:lang w:eastAsia="fr-FR"/>
        </w:rPr>
        <w:t>). </w:t>
      </w:r>
    </w:p>
    <w:p w14:paraId="00EA0A00"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p w14:paraId="2D8E607E" w14:textId="77777777" w:rsidR="00A55DFF" w:rsidRPr="006A22FC" w:rsidRDefault="00A55DFF" w:rsidP="00C92CAE">
      <w:pPr>
        <w:spacing w:after="0" w:line="240" w:lineRule="auto"/>
        <w:jc w:val="both"/>
        <w:textAlignment w:val="baseline"/>
        <w:outlineLvl w:val="3"/>
        <w:rPr>
          <w:rFonts w:asciiTheme="majorBidi" w:eastAsia="Times New Roman" w:hAnsiTheme="majorBidi" w:cstheme="majorBidi"/>
          <w:b/>
          <w:bCs/>
          <w:sz w:val="24"/>
          <w:szCs w:val="24"/>
          <w:lang w:eastAsia="fr-FR"/>
        </w:rPr>
      </w:pPr>
      <w:r w:rsidRPr="006A22FC">
        <w:rPr>
          <w:rFonts w:asciiTheme="majorBidi" w:eastAsia="Times New Roman" w:hAnsiTheme="majorBidi" w:cstheme="majorBidi"/>
          <w:b/>
          <w:bCs/>
          <w:sz w:val="24"/>
          <w:szCs w:val="24"/>
          <w:bdr w:val="none" w:sz="0" w:space="0" w:color="auto" w:frame="1"/>
          <w:lang w:eastAsia="fr-FR"/>
        </w:rPr>
        <w:t xml:space="preserve">1.2. Données </w:t>
      </w:r>
      <w:proofErr w:type="gramStart"/>
      <w:r w:rsidRPr="006A22FC">
        <w:rPr>
          <w:rFonts w:asciiTheme="majorBidi" w:eastAsia="Times New Roman" w:hAnsiTheme="majorBidi" w:cstheme="majorBidi"/>
          <w:b/>
          <w:bCs/>
          <w:sz w:val="24"/>
          <w:szCs w:val="24"/>
          <w:bdr w:val="none" w:sz="0" w:space="0" w:color="auto" w:frame="1"/>
          <w:lang w:eastAsia="fr-FR"/>
        </w:rPr>
        <w:t>quantitatives:</w:t>
      </w:r>
      <w:proofErr w:type="gramEnd"/>
      <w:r w:rsidRPr="006A22FC">
        <w:rPr>
          <w:rFonts w:asciiTheme="majorBidi" w:eastAsia="Times New Roman" w:hAnsiTheme="majorBidi" w:cstheme="majorBidi"/>
          <w:b/>
          <w:bCs/>
          <w:sz w:val="24"/>
          <w:szCs w:val="24"/>
          <w:bdr w:val="none" w:sz="0" w:space="0" w:color="auto" w:frame="1"/>
          <w:lang w:eastAsia="fr-FR"/>
        </w:rPr>
        <w:t xml:space="preserve"> la numération globulaire</w:t>
      </w:r>
    </w:p>
    <w:p w14:paraId="4A1887FB"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 </w:t>
      </w:r>
    </w:p>
    <w:tbl>
      <w:tblPr>
        <w:tblW w:w="10155" w:type="dxa"/>
        <w:tblCellMar>
          <w:left w:w="0" w:type="dxa"/>
          <w:right w:w="0" w:type="dxa"/>
        </w:tblCellMar>
        <w:tblLook w:val="04A0" w:firstRow="1" w:lastRow="0" w:firstColumn="1" w:lastColumn="0" w:noHBand="0" w:noVBand="1"/>
      </w:tblPr>
      <w:tblGrid>
        <w:gridCol w:w="2526"/>
        <w:gridCol w:w="2543"/>
        <w:gridCol w:w="2543"/>
        <w:gridCol w:w="2543"/>
      </w:tblGrid>
      <w:tr w:rsidR="00C92CAE" w:rsidRPr="006A22FC" w14:paraId="4946B2C6" w14:textId="77777777" w:rsidTr="00A55DFF">
        <w:tc>
          <w:tcPr>
            <w:tcW w:w="2295" w:type="dxa"/>
            <w:tcBorders>
              <w:top w:val="nil"/>
              <w:left w:val="nil"/>
              <w:bottom w:val="nil"/>
              <w:right w:val="nil"/>
            </w:tcBorders>
            <w:hideMark/>
          </w:tcPr>
          <w:p w14:paraId="2A259518"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 </w:t>
            </w:r>
          </w:p>
        </w:tc>
        <w:tc>
          <w:tcPr>
            <w:tcW w:w="2310" w:type="dxa"/>
            <w:tcBorders>
              <w:top w:val="nil"/>
              <w:left w:val="nil"/>
              <w:bottom w:val="nil"/>
              <w:right w:val="nil"/>
            </w:tcBorders>
            <w:hideMark/>
          </w:tcPr>
          <w:p w14:paraId="7ED580E6"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Nb de GR</w:t>
            </w:r>
          </w:p>
        </w:tc>
        <w:tc>
          <w:tcPr>
            <w:tcW w:w="2310" w:type="dxa"/>
            <w:tcBorders>
              <w:top w:val="nil"/>
              <w:left w:val="nil"/>
              <w:bottom w:val="nil"/>
              <w:right w:val="nil"/>
            </w:tcBorders>
            <w:hideMark/>
          </w:tcPr>
          <w:p w14:paraId="5FBEE6D2"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proofErr w:type="spellStart"/>
            <w:r w:rsidRPr="006A22FC">
              <w:rPr>
                <w:rFonts w:asciiTheme="majorBidi" w:eastAsia="Times New Roman" w:hAnsiTheme="majorBidi" w:cstheme="majorBidi"/>
                <w:b/>
                <w:bCs/>
                <w:sz w:val="24"/>
                <w:szCs w:val="24"/>
                <w:bdr w:val="none" w:sz="0" w:space="0" w:color="auto" w:frame="1"/>
                <w:lang w:eastAsia="fr-FR"/>
              </w:rPr>
              <w:t>Hte</w:t>
            </w:r>
            <w:proofErr w:type="spellEnd"/>
          </w:p>
        </w:tc>
        <w:tc>
          <w:tcPr>
            <w:tcW w:w="2310" w:type="dxa"/>
            <w:tcBorders>
              <w:top w:val="nil"/>
              <w:left w:val="nil"/>
              <w:bottom w:val="nil"/>
              <w:right w:val="nil"/>
            </w:tcBorders>
            <w:hideMark/>
          </w:tcPr>
          <w:p w14:paraId="39A9FC74"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proofErr w:type="spellStart"/>
            <w:r w:rsidRPr="006A22FC">
              <w:rPr>
                <w:rFonts w:asciiTheme="majorBidi" w:eastAsia="Times New Roman" w:hAnsiTheme="majorBidi" w:cstheme="majorBidi"/>
                <w:b/>
                <w:bCs/>
                <w:sz w:val="24"/>
                <w:szCs w:val="24"/>
                <w:bdr w:val="none" w:sz="0" w:space="0" w:color="auto" w:frame="1"/>
                <w:lang w:eastAsia="fr-FR"/>
              </w:rPr>
              <w:t>Hb</w:t>
            </w:r>
            <w:proofErr w:type="spellEnd"/>
          </w:p>
        </w:tc>
      </w:tr>
      <w:tr w:rsidR="00C92CAE" w:rsidRPr="006A22FC" w14:paraId="4D4D75DB" w14:textId="77777777" w:rsidTr="00A55DFF">
        <w:tc>
          <w:tcPr>
            <w:tcW w:w="2295" w:type="dxa"/>
            <w:tcBorders>
              <w:top w:val="nil"/>
              <w:left w:val="nil"/>
              <w:bottom w:val="nil"/>
              <w:right w:val="nil"/>
            </w:tcBorders>
            <w:hideMark/>
          </w:tcPr>
          <w:p w14:paraId="38453E75"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Homme</w:t>
            </w:r>
          </w:p>
        </w:tc>
        <w:tc>
          <w:tcPr>
            <w:tcW w:w="2310" w:type="dxa"/>
            <w:tcBorders>
              <w:top w:val="nil"/>
              <w:left w:val="nil"/>
              <w:bottom w:val="nil"/>
              <w:right w:val="nil"/>
            </w:tcBorders>
            <w:hideMark/>
          </w:tcPr>
          <w:p w14:paraId="5379D0E4"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4.5 – 5.8 T/L</w:t>
            </w:r>
          </w:p>
        </w:tc>
        <w:tc>
          <w:tcPr>
            <w:tcW w:w="2310" w:type="dxa"/>
            <w:tcBorders>
              <w:top w:val="nil"/>
              <w:left w:val="nil"/>
              <w:bottom w:val="nil"/>
              <w:right w:val="nil"/>
            </w:tcBorders>
            <w:hideMark/>
          </w:tcPr>
          <w:p w14:paraId="034F9220"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40 – 50 %</w:t>
            </w:r>
          </w:p>
        </w:tc>
        <w:tc>
          <w:tcPr>
            <w:tcW w:w="2310" w:type="dxa"/>
            <w:tcBorders>
              <w:top w:val="nil"/>
              <w:left w:val="nil"/>
              <w:bottom w:val="nil"/>
              <w:right w:val="nil"/>
            </w:tcBorders>
            <w:hideMark/>
          </w:tcPr>
          <w:p w14:paraId="1EA57A31"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13.5 – 17.5 g/</w:t>
            </w:r>
            <w:proofErr w:type="spellStart"/>
            <w:r w:rsidRPr="006A22FC">
              <w:rPr>
                <w:rFonts w:asciiTheme="majorBidi" w:eastAsia="Times New Roman" w:hAnsiTheme="majorBidi" w:cstheme="majorBidi"/>
                <w:sz w:val="24"/>
                <w:szCs w:val="24"/>
                <w:lang w:eastAsia="fr-FR"/>
              </w:rPr>
              <w:t>dL</w:t>
            </w:r>
            <w:proofErr w:type="spellEnd"/>
          </w:p>
        </w:tc>
      </w:tr>
      <w:tr w:rsidR="00C92CAE" w:rsidRPr="006A22FC" w14:paraId="61A85346" w14:textId="77777777" w:rsidTr="00A55DFF">
        <w:tc>
          <w:tcPr>
            <w:tcW w:w="2295" w:type="dxa"/>
            <w:tcBorders>
              <w:top w:val="nil"/>
              <w:left w:val="nil"/>
              <w:bottom w:val="nil"/>
              <w:right w:val="nil"/>
            </w:tcBorders>
            <w:hideMark/>
          </w:tcPr>
          <w:p w14:paraId="2FAF2B0D"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Femme</w:t>
            </w:r>
          </w:p>
        </w:tc>
        <w:tc>
          <w:tcPr>
            <w:tcW w:w="2310" w:type="dxa"/>
            <w:tcBorders>
              <w:top w:val="nil"/>
              <w:left w:val="nil"/>
              <w:bottom w:val="nil"/>
              <w:right w:val="nil"/>
            </w:tcBorders>
            <w:hideMark/>
          </w:tcPr>
          <w:p w14:paraId="6E13590D"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3.8 – 5.4 T/L</w:t>
            </w:r>
          </w:p>
        </w:tc>
        <w:tc>
          <w:tcPr>
            <w:tcW w:w="2310" w:type="dxa"/>
            <w:tcBorders>
              <w:top w:val="nil"/>
              <w:left w:val="nil"/>
              <w:bottom w:val="nil"/>
              <w:right w:val="nil"/>
            </w:tcBorders>
            <w:hideMark/>
          </w:tcPr>
          <w:p w14:paraId="774C44ED"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37 – 47 %</w:t>
            </w:r>
          </w:p>
        </w:tc>
        <w:tc>
          <w:tcPr>
            <w:tcW w:w="2310" w:type="dxa"/>
            <w:tcBorders>
              <w:top w:val="nil"/>
              <w:left w:val="nil"/>
              <w:bottom w:val="nil"/>
              <w:right w:val="nil"/>
            </w:tcBorders>
            <w:hideMark/>
          </w:tcPr>
          <w:p w14:paraId="43FD2604"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12.5 – 16.5 g/</w:t>
            </w:r>
            <w:proofErr w:type="spellStart"/>
            <w:r w:rsidRPr="006A22FC">
              <w:rPr>
                <w:rFonts w:asciiTheme="majorBidi" w:eastAsia="Times New Roman" w:hAnsiTheme="majorBidi" w:cstheme="majorBidi"/>
                <w:sz w:val="24"/>
                <w:szCs w:val="24"/>
                <w:lang w:eastAsia="fr-FR"/>
              </w:rPr>
              <w:t>dL</w:t>
            </w:r>
            <w:proofErr w:type="spellEnd"/>
          </w:p>
        </w:tc>
      </w:tr>
      <w:tr w:rsidR="00C92CAE" w:rsidRPr="006A22FC" w14:paraId="21EC34FC" w14:textId="77777777" w:rsidTr="00A55DFF">
        <w:tc>
          <w:tcPr>
            <w:tcW w:w="2295" w:type="dxa"/>
            <w:tcBorders>
              <w:top w:val="nil"/>
              <w:left w:val="nil"/>
              <w:bottom w:val="nil"/>
              <w:right w:val="nil"/>
            </w:tcBorders>
            <w:hideMark/>
          </w:tcPr>
          <w:p w14:paraId="118F8CE2"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Enfant (1 an)</w:t>
            </w:r>
          </w:p>
        </w:tc>
        <w:tc>
          <w:tcPr>
            <w:tcW w:w="2310" w:type="dxa"/>
            <w:tcBorders>
              <w:top w:val="nil"/>
              <w:left w:val="nil"/>
              <w:bottom w:val="nil"/>
              <w:right w:val="nil"/>
            </w:tcBorders>
            <w:hideMark/>
          </w:tcPr>
          <w:p w14:paraId="4B1C7585"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3.6 – 5.2 T/L</w:t>
            </w:r>
          </w:p>
        </w:tc>
        <w:tc>
          <w:tcPr>
            <w:tcW w:w="2310" w:type="dxa"/>
            <w:tcBorders>
              <w:top w:val="nil"/>
              <w:left w:val="nil"/>
              <w:bottom w:val="nil"/>
              <w:right w:val="nil"/>
            </w:tcBorders>
            <w:hideMark/>
          </w:tcPr>
          <w:p w14:paraId="1DD54ABB"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36 – 44 %</w:t>
            </w:r>
          </w:p>
        </w:tc>
        <w:tc>
          <w:tcPr>
            <w:tcW w:w="2310" w:type="dxa"/>
            <w:tcBorders>
              <w:top w:val="nil"/>
              <w:left w:val="nil"/>
              <w:bottom w:val="nil"/>
              <w:right w:val="nil"/>
            </w:tcBorders>
            <w:hideMark/>
          </w:tcPr>
          <w:p w14:paraId="1AA0B27D"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proofErr w:type="gramStart"/>
            <w:r w:rsidRPr="006A22FC">
              <w:rPr>
                <w:rFonts w:asciiTheme="majorBidi" w:eastAsia="Times New Roman" w:hAnsiTheme="majorBidi" w:cstheme="majorBidi"/>
                <w:sz w:val="24"/>
                <w:szCs w:val="24"/>
                <w:lang w:eastAsia="fr-FR"/>
              </w:rPr>
              <w:t>11  –</w:t>
            </w:r>
            <w:proofErr w:type="gramEnd"/>
            <w:r w:rsidRPr="006A22FC">
              <w:rPr>
                <w:rFonts w:asciiTheme="majorBidi" w:eastAsia="Times New Roman" w:hAnsiTheme="majorBidi" w:cstheme="majorBidi"/>
                <w:sz w:val="24"/>
                <w:szCs w:val="24"/>
                <w:lang w:eastAsia="fr-FR"/>
              </w:rPr>
              <w:t xml:space="preserve">  13.5 g/</w:t>
            </w:r>
            <w:proofErr w:type="spellStart"/>
            <w:r w:rsidRPr="006A22FC">
              <w:rPr>
                <w:rFonts w:asciiTheme="majorBidi" w:eastAsia="Times New Roman" w:hAnsiTheme="majorBidi" w:cstheme="majorBidi"/>
                <w:sz w:val="24"/>
                <w:szCs w:val="24"/>
                <w:lang w:eastAsia="fr-FR"/>
              </w:rPr>
              <w:t>dL</w:t>
            </w:r>
            <w:proofErr w:type="spellEnd"/>
          </w:p>
        </w:tc>
      </w:tr>
      <w:tr w:rsidR="00C92CAE" w:rsidRPr="006A22FC" w14:paraId="424BB539" w14:textId="77777777" w:rsidTr="00A55DFF">
        <w:tc>
          <w:tcPr>
            <w:tcW w:w="2295" w:type="dxa"/>
            <w:tcBorders>
              <w:top w:val="nil"/>
              <w:left w:val="nil"/>
              <w:bottom w:val="nil"/>
              <w:right w:val="nil"/>
            </w:tcBorders>
            <w:hideMark/>
          </w:tcPr>
          <w:p w14:paraId="7DB97DA3"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Nouveau-né</w:t>
            </w:r>
          </w:p>
        </w:tc>
        <w:tc>
          <w:tcPr>
            <w:tcW w:w="2310" w:type="dxa"/>
            <w:tcBorders>
              <w:top w:val="nil"/>
              <w:left w:val="nil"/>
              <w:bottom w:val="nil"/>
              <w:right w:val="nil"/>
            </w:tcBorders>
            <w:hideMark/>
          </w:tcPr>
          <w:p w14:paraId="5015CB1A"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5 – 6 T/L</w:t>
            </w:r>
          </w:p>
        </w:tc>
        <w:tc>
          <w:tcPr>
            <w:tcW w:w="2310" w:type="dxa"/>
            <w:tcBorders>
              <w:top w:val="nil"/>
              <w:left w:val="nil"/>
              <w:bottom w:val="nil"/>
              <w:right w:val="nil"/>
            </w:tcBorders>
            <w:hideMark/>
          </w:tcPr>
          <w:p w14:paraId="6F1D8C12"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44 – 58 %</w:t>
            </w:r>
          </w:p>
        </w:tc>
        <w:tc>
          <w:tcPr>
            <w:tcW w:w="2310" w:type="dxa"/>
            <w:tcBorders>
              <w:top w:val="nil"/>
              <w:left w:val="nil"/>
              <w:bottom w:val="nil"/>
              <w:right w:val="nil"/>
            </w:tcBorders>
            <w:hideMark/>
          </w:tcPr>
          <w:p w14:paraId="5B937065"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14.5 – 22.5 g/</w:t>
            </w:r>
            <w:proofErr w:type="spellStart"/>
            <w:r w:rsidRPr="006A22FC">
              <w:rPr>
                <w:rFonts w:asciiTheme="majorBidi" w:eastAsia="Times New Roman" w:hAnsiTheme="majorBidi" w:cstheme="majorBidi"/>
                <w:sz w:val="24"/>
                <w:szCs w:val="24"/>
                <w:lang w:eastAsia="fr-FR"/>
              </w:rPr>
              <w:t>dL</w:t>
            </w:r>
            <w:proofErr w:type="spellEnd"/>
          </w:p>
        </w:tc>
      </w:tr>
    </w:tbl>
    <w:p w14:paraId="531E31DA"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Volume Globulaire Moyen (VGM)</w:t>
      </w:r>
      <w:r w:rsidRPr="006A22FC">
        <w:rPr>
          <w:rFonts w:asciiTheme="majorBidi" w:eastAsia="Times New Roman" w:hAnsiTheme="majorBidi" w:cstheme="majorBidi"/>
          <w:sz w:val="24"/>
          <w:szCs w:val="24"/>
          <w:lang w:eastAsia="fr-FR"/>
        </w:rPr>
        <w:t xml:space="preserve"> de l'adulte = 85 – 95 </w:t>
      </w:r>
      <w:proofErr w:type="spellStart"/>
      <w:r w:rsidRPr="006A22FC">
        <w:rPr>
          <w:rFonts w:asciiTheme="majorBidi" w:eastAsia="Times New Roman" w:hAnsiTheme="majorBidi" w:cstheme="majorBidi"/>
          <w:sz w:val="24"/>
          <w:szCs w:val="24"/>
          <w:lang w:eastAsia="fr-FR"/>
        </w:rPr>
        <w:t>fL</w:t>
      </w:r>
      <w:proofErr w:type="spellEnd"/>
      <w:r w:rsidRPr="006A22FC">
        <w:rPr>
          <w:rFonts w:asciiTheme="majorBidi" w:eastAsia="Times New Roman" w:hAnsiTheme="majorBidi" w:cstheme="majorBidi"/>
          <w:sz w:val="24"/>
          <w:szCs w:val="24"/>
          <w:lang w:eastAsia="fr-FR"/>
        </w:rPr>
        <w:t xml:space="preserve"> (= 10 x </w:t>
      </w:r>
      <w:proofErr w:type="spellStart"/>
      <w:r w:rsidRPr="006A22FC">
        <w:rPr>
          <w:rFonts w:asciiTheme="majorBidi" w:eastAsia="Times New Roman" w:hAnsiTheme="majorBidi" w:cstheme="majorBidi"/>
          <w:sz w:val="24"/>
          <w:szCs w:val="24"/>
          <w:lang w:eastAsia="fr-FR"/>
        </w:rPr>
        <w:t>Hte</w:t>
      </w:r>
      <w:proofErr w:type="spellEnd"/>
      <w:r w:rsidRPr="006A22FC">
        <w:rPr>
          <w:rFonts w:asciiTheme="majorBidi" w:eastAsia="Times New Roman" w:hAnsiTheme="majorBidi" w:cstheme="majorBidi"/>
          <w:sz w:val="24"/>
          <w:szCs w:val="24"/>
          <w:lang w:eastAsia="fr-FR"/>
        </w:rPr>
        <w:t xml:space="preserve"> / Nb de GR)</w:t>
      </w:r>
    </w:p>
    <w:p w14:paraId="592B49F3" w14:textId="51F894E2" w:rsidR="00A55DFF" w:rsidRPr="006A22FC" w:rsidRDefault="00A55DFF" w:rsidP="005B5A16">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Il définit : Microcytose si &lt; 80 </w:t>
      </w:r>
      <w:proofErr w:type="spellStart"/>
      <w:r w:rsidRPr="006A22FC">
        <w:rPr>
          <w:rFonts w:asciiTheme="majorBidi" w:eastAsia="Times New Roman" w:hAnsiTheme="majorBidi" w:cstheme="majorBidi"/>
          <w:sz w:val="24"/>
          <w:szCs w:val="24"/>
          <w:lang w:eastAsia="fr-FR"/>
        </w:rPr>
        <w:t>fL</w:t>
      </w:r>
      <w:proofErr w:type="spellEnd"/>
    </w:p>
    <w:p w14:paraId="6CC0C3A5" w14:textId="6AFF6A55"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Macrocytose si &gt; 100 </w:t>
      </w:r>
      <w:proofErr w:type="spellStart"/>
      <w:r w:rsidRPr="006A22FC">
        <w:rPr>
          <w:rFonts w:asciiTheme="majorBidi" w:eastAsia="Times New Roman" w:hAnsiTheme="majorBidi" w:cstheme="majorBidi"/>
          <w:sz w:val="24"/>
          <w:szCs w:val="24"/>
          <w:lang w:eastAsia="fr-FR"/>
        </w:rPr>
        <w:t>fL</w:t>
      </w:r>
      <w:proofErr w:type="spellEnd"/>
    </w:p>
    <w:p w14:paraId="3A1E7F03" w14:textId="00F3AA26"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Normocytose si 80 – 100 </w:t>
      </w:r>
      <w:proofErr w:type="spellStart"/>
      <w:r w:rsidRPr="006A22FC">
        <w:rPr>
          <w:rFonts w:asciiTheme="majorBidi" w:eastAsia="Times New Roman" w:hAnsiTheme="majorBidi" w:cstheme="majorBidi"/>
          <w:sz w:val="24"/>
          <w:szCs w:val="24"/>
          <w:lang w:eastAsia="fr-FR"/>
        </w:rPr>
        <w:t>fL</w:t>
      </w:r>
      <w:proofErr w:type="spellEnd"/>
    </w:p>
    <w:p w14:paraId="3EFB697C"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p w14:paraId="4E0A9A41"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proofErr w:type="gramStart"/>
      <w:r w:rsidRPr="006A22FC">
        <w:rPr>
          <w:rFonts w:asciiTheme="majorBidi" w:eastAsia="Times New Roman" w:hAnsiTheme="majorBidi" w:cstheme="majorBidi"/>
          <w:sz w:val="24"/>
          <w:szCs w:val="24"/>
          <w:lang w:eastAsia="fr-FR"/>
        </w:rPr>
        <w:lastRenderedPageBreak/>
        <w:t>NB:</w:t>
      </w:r>
      <w:proofErr w:type="gramEnd"/>
      <w:r w:rsidRPr="006A22FC">
        <w:rPr>
          <w:rFonts w:asciiTheme="majorBidi" w:eastAsia="Times New Roman" w:hAnsiTheme="majorBidi" w:cstheme="majorBidi"/>
          <w:sz w:val="24"/>
          <w:szCs w:val="24"/>
          <w:lang w:eastAsia="fr-FR"/>
        </w:rPr>
        <w:t xml:space="preserve"> les automates actuels fournissent une courbe de distribution des volumes érythrocytaires, assez superposable à la courbe de Price Jones qui permet de définir l'anisocytose (réalisée autrefois avec les diamètres érythrocytaires mesurés sur frottis). Il existe un indice particulier appelé Indice de distribution des GR ou IDR, qui définit le degré d’anisocytose (N = 11 – 16 %).</w:t>
      </w:r>
    </w:p>
    <w:p w14:paraId="4E0F69CF"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CCMH </w:t>
      </w:r>
      <w:r w:rsidRPr="006A22FC">
        <w:rPr>
          <w:rFonts w:asciiTheme="majorBidi" w:eastAsia="Times New Roman" w:hAnsiTheme="majorBidi" w:cstheme="majorBidi"/>
          <w:sz w:val="24"/>
          <w:szCs w:val="24"/>
          <w:lang w:eastAsia="fr-FR"/>
        </w:rPr>
        <w:t xml:space="preserve">(concentration corpusculaire moyenne en </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w:t>
      </w:r>
      <w:r w:rsidRPr="006A22FC">
        <w:rPr>
          <w:rFonts w:asciiTheme="majorBidi" w:eastAsia="Times New Roman" w:hAnsiTheme="majorBidi" w:cstheme="majorBidi"/>
          <w:b/>
          <w:bCs/>
          <w:sz w:val="24"/>
          <w:szCs w:val="24"/>
          <w:bdr w:val="none" w:sz="0" w:space="0" w:color="auto" w:frame="1"/>
          <w:lang w:eastAsia="fr-FR"/>
        </w:rPr>
        <w:t> = 32 - 36 g/dl</w:t>
      </w:r>
      <w:r w:rsidRPr="006A22FC">
        <w:rPr>
          <w:rFonts w:asciiTheme="majorBidi" w:eastAsia="Times New Roman" w:hAnsiTheme="majorBidi" w:cstheme="majorBidi"/>
          <w:sz w:val="24"/>
          <w:szCs w:val="24"/>
          <w:lang w:eastAsia="fr-FR"/>
        </w:rPr>
        <w:t xml:space="preserve"> (100 x </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 </w:t>
      </w:r>
      <w:proofErr w:type="spellStart"/>
      <w:r w:rsidRPr="006A22FC">
        <w:rPr>
          <w:rFonts w:asciiTheme="majorBidi" w:eastAsia="Times New Roman" w:hAnsiTheme="majorBidi" w:cstheme="majorBidi"/>
          <w:sz w:val="24"/>
          <w:szCs w:val="24"/>
          <w:lang w:eastAsia="fr-FR"/>
        </w:rPr>
        <w:t>Hte</w:t>
      </w:r>
      <w:proofErr w:type="spellEnd"/>
      <w:r w:rsidRPr="006A22FC">
        <w:rPr>
          <w:rFonts w:asciiTheme="majorBidi" w:eastAsia="Times New Roman" w:hAnsiTheme="majorBidi" w:cstheme="majorBidi"/>
          <w:sz w:val="24"/>
          <w:szCs w:val="24"/>
          <w:lang w:eastAsia="fr-FR"/>
        </w:rPr>
        <w:t>).</w:t>
      </w:r>
    </w:p>
    <w:p w14:paraId="01BEE264"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Elle correspond à la concentration de la solution d'</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à l'intérieur du GR, et définit :</w:t>
      </w:r>
    </w:p>
    <w:p w14:paraId="12FFC935" w14:textId="3572C1B2" w:rsidR="00A55DFF" w:rsidRPr="006A22FC" w:rsidRDefault="00A55DFF" w:rsidP="005B5A16">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Hypochromie si &lt; 32 g/</w:t>
      </w:r>
      <w:proofErr w:type="spellStart"/>
      <w:r w:rsidRPr="006A22FC">
        <w:rPr>
          <w:rFonts w:asciiTheme="majorBidi" w:eastAsia="Times New Roman" w:hAnsiTheme="majorBidi" w:cstheme="majorBidi"/>
          <w:sz w:val="24"/>
          <w:szCs w:val="24"/>
          <w:lang w:eastAsia="fr-FR"/>
        </w:rPr>
        <w:t>dL</w:t>
      </w:r>
      <w:proofErr w:type="spellEnd"/>
    </w:p>
    <w:p w14:paraId="79D6B68B" w14:textId="15F91509" w:rsidR="00A55DFF" w:rsidRPr="006A22FC" w:rsidRDefault="00A55DFF" w:rsidP="005B5A16">
      <w:pPr>
        <w:spacing w:after="0" w:line="240" w:lineRule="auto"/>
        <w:ind w:firstLine="708"/>
        <w:jc w:val="both"/>
        <w:textAlignment w:val="baseline"/>
        <w:rPr>
          <w:rFonts w:asciiTheme="majorBidi" w:eastAsia="Times New Roman" w:hAnsiTheme="majorBidi" w:cstheme="majorBidi"/>
          <w:sz w:val="24"/>
          <w:szCs w:val="24"/>
          <w:lang w:eastAsia="fr-FR"/>
        </w:rPr>
      </w:pPr>
      <w:proofErr w:type="spellStart"/>
      <w:r w:rsidRPr="006A22FC">
        <w:rPr>
          <w:rFonts w:asciiTheme="majorBidi" w:eastAsia="Times New Roman" w:hAnsiTheme="majorBidi" w:cstheme="majorBidi"/>
          <w:sz w:val="24"/>
          <w:szCs w:val="24"/>
          <w:lang w:eastAsia="fr-FR"/>
        </w:rPr>
        <w:t>Normochromie</w:t>
      </w:r>
      <w:proofErr w:type="spellEnd"/>
      <w:r w:rsidRPr="006A22FC">
        <w:rPr>
          <w:rFonts w:asciiTheme="majorBidi" w:eastAsia="Times New Roman" w:hAnsiTheme="majorBidi" w:cstheme="majorBidi"/>
          <w:sz w:val="24"/>
          <w:szCs w:val="24"/>
          <w:lang w:eastAsia="fr-FR"/>
        </w:rPr>
        <w:t xml:space="preserve"> si 32 – 36 g/</w:t>
      </w:r>
      <w:proofErr w:type="spellStart"/>
      <w:r w:rsidRPr="006A22FC">
        <w:rPr>
          <w:rFonts w:asciiTheme="majorBidi" w:eastAsia="Times New Roman" w:hAnsiTheme="majorBidi" w:cstheme="majorBidi"/>
          <w:sz w:val="24"/>
          <w:szCs w:val="24"/>
          <w:lang w:eastAsia="fr-FR"/>
        </w:rPr>
        <w:t>dL</w:t>
      </w:r>
      <w:proofErr w:type="spellEnd"/>
    </w:p>
    <w:p w14:paraId="70AF134C" w14:textId="3510AA5A" w:rsidR="00A55DFF" w:rsidRPr="006A22FC" w:rsidRDefault="00A55DFF" w:rsidP="005B5A16">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Rappel : Les valeurs normales de l'hémogramme sont toujours à interpréter selon l'âge et le sexe du patient (</w:t>
      </w:r>
      <w:r w:rsidRPr="006A22FC">
        <w:rPr>
          <w:rFonts w:asciiTheme="majorBidi" w:eastAsia="Times New Roman" w:hAnsiTheme="majorBidi" w:cstheme="majorBidi"/>
          <w:b/>
          <w:bCs/>
          <w:i/>
          <w:iCs/>
          <w:sz w:val="24"/>
          <w:szCs w:val="24"/>
          <w:bdr w:val="none" w:sz="0" w:space="0" w:color="auto" w:frame="1"/>
          <w:lang w:eastAsia="fr-FR"/>
        </w:rPr>
        <w:t>voir « valeurs normales en fonction de l'âge »</w:t>
      </w:r>
      <w:r w:rsidRPr="006A22FC">
        <w:rPr>
          <w:rFonts w:asciiTheme="majorBidi" w:eastAsia="Times New Roman" w:hAnsiTheme="majorBidi" w:cstheme="majorBidi"/>
          <w:sz w:val="24"/>
          <w:szCs w:val="24"/>
          <w:lang w:eastAsia="fr-FR"/>
        </w:rPr>
        <w:t>).</w:t>
      </w:r>
    </w:p>
    <w:p w14:paraId="75B327DC" w14:textId="5BCBD0A8" w:rsidR="00A55DFF" w:rsidRPr="006A22FC" w:rsidRDefault="005B5A16" w:rsidP="005B5A16">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ab/>
      </w:r>
      <w:r w:rsidR="00A55DFF" w:rsidRPr="006A22FC">
        <w:rPr>
          <w:rFonts w:asciiTheme="majorBidi" w:eastAsia="Times New Roman" w:hAnsiTheme="majorBidi" w:cstheme="majorBidi"/>
          <w:b/>
          <w:bCs/>
          <w:sz w:val="24"/>
          <w:szCs w:val="24"/>
          <w:bdr w:val="none" w:sz="0" w:space="0" w:color="auto" w:frame="1"/>
          <w:lang w:eastAsia="fr-FR"/>
        </w:rPr>
        <w:t>Réticulocytes = 20 – 100 G/L (soit 0.5 – 2% des GR).</w:t>
      </w:r>
    </w:p>
    <w:p w14:paraId="13E3F622"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Ils ont une durée de vie de 2j dans le sang, et contiennent encore quelques organites colorables par des techniques spéciales (voir érythropoïèse).</w:t>
      </w:r>
    </w:p>
    <w:p w14:paraId="07EF8C3F"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Leur Nb permet de déterminer les capacités de régénération de la moelle osseuse :</w:t>
      </w:r>
    </w:p>
    <w:p w14:paraId="436D92C9" w14:textId="5DEEF131" w:rsidR="00A55DFF" w:rsidRPr="006A22FC" w:rsidRDefault="00A55DFF" w:rsidP="00C92CAE">
      <w:pPr>
        <w:pStyle w:val="Paragraphedeliste"/>
        <w:numPr>
          <w:ilvl w:val="0"/>
          <w:numId w:val="1"/>
        </w:numPr>
        <w:spacing w:after="0" w:line="240" w:lineRule="auto"/>
        <w:jc w:val="both"/>
        <w:textAlignment w:val="baseline"/>
        <w:rPr>
          <w:rFonts w:asciiTheme="majorBidi" w:eastAsia="Times New Roman" w:hAnsiTheme="majorBidi" w:cstheme="majorBidi"/>
          <w:sz w:val="24"/>
          <w:szCs w:val="24"/>
          <w:lang w:eastAsia="fr-FR"/>
        </w:rPr>
      </w:pPr>
      <w:proofErr w:type="gramStart"/>
      <w:r w:rsidRPr="006A22FC">
        <w:rPr>
          <w:rFonts w:asciiTheme="majorBidi" w:eastAsia="Times New Roman" w:hAnsiTheme="majorBidi" w:cstheme="majorBidi"/>
          <w:sz w:val="24"/>
          <w:szCs w:val="24"/>
          <w:lang w:eastAsia="fr-FR"/>
        </w:rPr>
        <w:t>une</w:t>
      </w:r>
      <w:proofErr w:type="gramEnd"/>
      <w:r w:rsidRPr="006A22FC">
        <w:rPr>
          <w:rFonts w:asciiTheme="majorBidi" w:eastAsia="Times New Roman" w:hAnsiTheme="majorBidi" w:cstheme="majorBidi"/>
          <w:sz w:val="24"/>
          <w:szCs w:val="24"/>
          <w:lang w:eastAsia="fr-FR"/>
        </w:rPr>
        <w:t xml:space="preserve"> anémie est régénérative si le Nb de réticulocytes est &gt; 150 G/L,</w:t>
      </w:r>
    </w:p>
    <w:p w14:paraId="5DA5118B" w14:textId="5E2CDC7F"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w:t>
      </w:r>
      <w:proofErr w:type="gramStart"/>
      <w:r w:rsidRPr="006A22FC">
        <w:rPr>
          <w:rFonts w:asciiTheme="majorBidi" w:eastAsia="Times New Roman" w:hAnsiTheme="majorBidi" w:cstheme="majorBidi"/>
          <w:sz w:val="24"/>
          <w:szCs w:val="24"/>
          <w:lang w:eastAsia="fr-FR"/>
        </w:rPr>
        <w:t>une</w:t>
      </w:r>
      <w:proofErr w:type="gramEnd"/>
      <w:r w:rsidRPr="006A22FC">
        <w:rPr>
          <w:rFonts w:asciiTheme="majorBidi" w:eastAsia="Times New Roman" w:hAnsiTheme="majorBidi" w:cstheme="majorBidi"/>
          <w:sz w:val="24"/>
          <w:szCs w:val="24"/>
          <w:lang w:eastAsia="fr-FR"/>
        </w:rPr>
        <w:t xml:space="preserve"> anémie est non régénérative si le Nb de réticulocytes est &lt; 150 G/L,</w:t>
      </w:r>
    </w:p>
    <w:p w14:paraId="209EEA40"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roofErr w:type="gramStart"/>
      <w:r w:rsidRPr="006A22FC">
        <w:rPr>
          <w:rFonts w:asciiTheme="majorBidi" w:eastAsia="Times New Roman" w:hAnsiTheme="majorBidi" w:cstheme="majorBidi"/>
          <w:sz w:val="24"/>
          <w:szCs w:val="24"/>
          <w:lang w:eastAsia="fr-FR"/>
        </w:rPr>
        <w:t>entre</w:t>
      </w:r>
      <w:proofErr w:type="gramEnd"/>
      <w:r w:rsidRPr="006A22FC">
        <w:rPr>
          <w:rFonts w:asciiTheme="majorBidi" w:eastAsia="Times New Roman" w:hAnsiTheme="majorBidi" w:cstheme="majorBidi"/>
          <w:sz w:val="24"/>
          <w:szCs w:val="24"/>
          <w:lang w:eastAsia="fr-FR"/>
        </w:rPr>
        <w:t xml:space="preserve"> ces 2 valeurs, répéter l’examen ou utiliser d’autres moyens pour définir l’anémie)</w:t>
      </w:r>
    </w:p>
    <w:p w14:paraId="790C6456" w14:textId="0E4DEFB3" w:rsidR="00A55DFF" w:rsidRPr="006A22FC" w:rsidRDefault="00A55DFF" w:rsidP="005B5A16">
      <w:pPr>
        <w:spacing w:after="0" w:line="240" w:lineRule="auto"/>
        <w:jc w:val="both"/>
        <w:textAlignment w:val="baseline"/>
        <w:rPr>
          <w:rFonts w:asciiTheme="majorBidi" w:eastAsia="Times New Roman" w:hAnsiTheme="majorBidi" w:cstheme="majorBidi"/>
          <w:b/>
          <w:bCs/>
          <w:caps/>
          <w:sz w:val="24"/>
          <w:szCs w:val="24"/>
          <w:lang w:eastAsia="fr-FR"/>
        </w:rPr>
      </w:pPr>
      <w:r w:rsidRPr="006A22FC">
        <w:rPr>
          <w:rFonts w:asciiTheme="majorBidi" w:eastAsia="Times New Roman" w:hAnsiTheme="majorBidi" w:cstheme="majorBidi"/>
          <w:b/>
          <w:bCs/>
          <w:caps/>
          <w:sz w:val="24"/>
          <w:szCs w:val="24"/>
          <w:bdr w:val="none" w:sz="0" w:space="0" w:color="auto" w:frame="1"/>
          <w:lang w:eastAsia="fr-FR"/>
        </w:rPr>
        <w:t>2. STRUCTURE DU GLOBULE ROUGE</w:t>
      </w:r>
    </w:p>
    <w:p w14:paraId="6B722E27" w14:textId="318F7464" w:rsidR="00A55DFF" w:rsidRDefault="00A55DFF" w:rsidP="005B5A16">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Le GR peut être schématiquement représenté comme un sac (= membrane) contenant de l’hémoglobine (= pigment responsable de la fonction de l’hémoglobine) et des enzymes (pour la protection de l’</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et de la membrane contre l’oxydation).</w:t>
      </w:r>
    </w:p>
    <w:p w14:paraId="6770DC6B" w14:textId="77777777" w:rsidR="006A22FC" w:rsidRPr="006A22FC" w:rsidRDefault="006A22FC" w:rsidP="005B5A16">
      <w:pPr>
        <w:spacing w:after="0" w:line="240" w:lineRule="auto"/>
        <w:ind w:firstLine="708"/>
        <w:jc w:val="both"/>
        <w:textAlignment w:val="baseline"/>
        <w:rPr>
          <w:rFonts w:asciiTheme="majorBidi" w:eastAsia="Times New Roman" w:hAnsiTheme="majorBidi" w:cstheme="majorBidi"/>
          <w:sz w:val="24"/>
          <w:szCs w:val="24"/>
          <w:lang w:eastAsia="fr-FR"/>
        </w:rPr>
      </w:pPr>
    </w:p>
    <w:p w14:paraId="36EC55F1" w14:textId="77777777" w:rsidR="006A22FC" w:rsidRDefault="00A55DFF" w:rsidP="006A22FC">
      <w:pPr>
        <w:spacing w:after="0" w:line="240" w:lineRule="auto"/>
        <w:jc w:val="both"/>
        <w:textAlignment w:val="baseline"/>
        <w:outlineLvl w:val="3"/>
        <w:rPr>
          <w:rFonts w:asciiTheme="majorBidi" w:eastAsia="Times New Roman" w:hAnsiTheme="majorBidi" w:cstheme="majorBidi"/>
          <w:b/>
          <w:bCs/>
          <w:sz w:val="24"/>
          <w:szCs w:val="24"/>
          <w:bdr w:val="none" w:sz="0" w:space="0" w:color="auto" w:frame="1"/>
          <w:lang w:eastAsia="fr-FR"/>
        </w:rPr>
      </w:pPr>
      <w:r w:rsidRPr="006A22FC">
        <w:rPr>
          <w:rFonts w:asciiTheme="majorBidi" w:eastAsia="Times New Roman" w:hAnsiTheme="majorBidi" w:cstheme="majorBidi"/>
          <w:b/>
          <w:bCs/>
          <w:sz w:val="24"/>
          <w:szCs w:val="24"/>
          <w:bdr w:val="none" w:sz="0" w:space="0" w:color="auto" w:frame="1"/>
          <w:lang w:eastAsia="fr-FR"/>
        </w:rPr>
        <w:t>2.1. La membrane</w:t>
      </w:r>
    </w:p>
    <w:p w14:paraId="5FCCD91B" w14:textId="701D810A" w:rsidR="00A55DFF" w:rsidRPr="006A22FC" w:rsidRDefault="00D86591" w:rsidP="006A22FC">
      <w:pPr>
        <w:spacing w:after="0" w:line="240" w:lineRule="auto"/>
        <w:jc w:val="both"/>
        <w:textAlignment w:val="baseline"/>
        <w:outlineLvl w:val="3"/>
        <w:rPr>
          <w:rFonts w:asciiTheme="majorBidi" w:eastAsia="Times New Roman" w:hAnsiTheme="majorBidi" w:cstheme="majorBidi"/>
          <w:b/>
          <w:bCs/>
          <w:sz w:val="24"/>
          <w:szCs w:val="24"/>
          <w:bdr w:val="none" w:sz="0" w:space="0" w:color="auto" w:frame="1"/>
          <w:lang w:eastAsia="fr-FR"/>
        </w:rPr>
      </w:pPr>
      <w:r w:rsidRPr="006A22FC">
        <w:rPr>
          <w:rFonts w:asciiTheme="majorBidi" w:eastAsia="Times New Roman" w:hAnsiTheme="majorBidi" w:cstheme="majorBidi"/>
          <w:sz w:val="24"/>
          <w:szCs w:val="24"/>
          <w:lang w:eastAsia="fr-FR"/>
        </w:rPr>
        <w:tab/>
      </w:r>
      <w:r w:rsidR="00A55DFF" w:rsidRPr="006A22FC">
        <w:rPr>
          <w:rFonts w:asciiTheme="majorBidi" w:eastAsia="Times New Roman" w:hAnsiTheme="majorBidi" w:cstheme="majorBidi"/>
          <w:b/>
          <w:bCs/>
          <w:sz w:val="24"/>
          <w:szCs w:val="24"/>
          <w:bdr w:val="none" w:sz="0" w:space="0" w:color="auto" w:frame="1"/>
          <w:lang w:eastAsia="fr-FR"/>
        </w:rPr>
        <w:t>2.1.1. Structure</w:t>
      </w:r>
    </w:p>
    <w:p w14:paraId="4E3B1980" w14:textId="15A8F73E"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Aspect classique </w:t>
      </w:r>
      <w:proofErr w:type="spellStart"/>
      <w:r w:rsidRPr="006A22FC">
        <w:rPr>
          <w:rFonts w:asciiTheme="majorBidi" w:eastAsia="Times New Roman" w:hAnsiTheme="majorBidi" w:cstheme="majorBidi"/>
          <w:sz w:val="24"/>
          <w:szCs w:val="24"/>
          <w:lang w:eastAsia="fr-FR"/>
        </w:rPr>
        <w:t>trilaminaire</w:t>
      </w:r>
      <w:proofErr w:type="spellEnd"/>
      <w:r w:rsidRPr="006A22FC">
        <w:rPr>
          <w:rFonts w:asciiTheme="majorBidi" w:eastAsia="Times New Roman" w:hAnsiTheme="majorBidi" w:cstheme="majorBidi"/>
          <w:sz w:val="24"/>
          <w:szCs w:val="24"/>
          <w:lang w:eastAsia="fr-FR"/>
        </w:rPr>
        <w:t xml:space="preserve"> (deux couches opaques entourant une couche claire) en microscopie électronique, constituée de :</w:t>
      </w:r>
    </w:p>
    <w:p w14:paraId="6D6EF144" w14:textId="114A41B4" w:rsidR="00A55DFF" w:rsidRPr="006A22FC" w:rsidRDefault="00A55DFF" w:rsidP="00C92CAE">
      <w:pPr>
        <w:pStyle w:val="Paragraphedeliste"/>
        <w:numPr>
          <w:ilvl w:val="0"/>
          <w:numId w:val="1"/>
        </w:num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Lipides = 42% (65% de phospholipides, 23% de cholestérol, 12% d'acides gras),</w:t>
      </w:r>
    </w:p>
    <w:p w14:paraId="2BFE3279" w14:textId="77777777" w:rsidR="00D86591" w:rsidRPr="006A22FC" w:rsidRDefault="00A55DFF" w:rsidP="00C92CAE">
      <w:pPr>
        <w:pStyle w:val="Paragraphedeliste"/>
        <w:numPr>
          <w:ilvl w:val="0"/>
          <w:numId w:val="1"/>
        </w:num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Glucides = 8% (= la partie </w:t>
      </w:r>
      <w:proofErr w:type="spellStart"/>
      <w:r w:rsidRPr="006A22FC">
        <w:rPr>
          <w:rFonts w:asciiTheme="majorBidi" w:eastAsia="Times New Roman" w:hAnsiTheme="majorBidi" w:cstheme="majorBidi"/>
          <w:sz w:val="24"/>
          <w:szCs w:val="24"/>
          <w:lang w:eastAsia="fr-FR"/>
        </w:rPr>
        <w:t>oligo-sacharridique</w:t>
      </w:r>
      <w:proofErr w:type="spellEnd"/>
      <w:r w:rsidRPr="006A22FC">
        <w:rPr>
          <w:rFonts w:asciiTheme="majorBidi" w:eastAsia="Times New Roman" w:hAnsiTheme="majorBidi" w:cstheme="majorBidi"/>
          <w:sz w:val="24"/>
          <w:szCs w:val="24"/>
          <w:lang w:eastAsia="fr-FR"/>
        </w:rPr>
        <w:t xml:space="preserve"> des glycoprotéines et des glycolipides)</w:t>
      </w:r>
    </w:p>
    <w:p w14:paraId="0226D41C" w14:textId="44A5E991" w:rsidR="00A55DFF" w:rsidRPr="006A22FC" w:rsidRDefault="00A55DFF" w:rsidP="00C92CAE">
      <w:pPr>
        <w:pStyle w:val="Paragraphedeliste"/>
        <w:numPr>
          <w:ilvl w:val="0"/>
          <w:numId w:val="1"/>
        </w:num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Protéines = 50% :</w:t>
      </w:r>
    </w:p>
    <w:p w14:paraId="7A136DCB" w14:textId="5A00A671"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Protéines extrinsèques transmembranaires</w:t>
      </w:r>
      <w:r w:rsidRPr="006A22FC">
        <w:rPr>
          <w:rFonts w:asciiTheme="majorBidi" w:eastAsia="Times New Roman" w:hAnsiTheme="majorBidi" w:cstheme="majorBidi"/>
          <w:sz w:val="24"/>
          <w:szCs w:val="24"/>
          <w:lang w:eastAsia="fr-FR"/>
        </w:rPr>
        <w:t> assurant la transmission des messages de l'extérieur vers l'intérieur (à la face interne = la plupart des protéines du cytosquelette du globule rouge, et à la face externe = principalement des récepteurs, surtout la protéine bande 3 et la glycophorine A),</w:t>
      </w:r>
    </w:p>
    <w:p w14:paraId="6F59329C" w14:textId="121925E0"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Protéines du cytosquelette</w:t>
      </w:r>
      <w:r w:rsidRPr="006A22FC">
        <w:rPr>
          <w:rFonts w:asciiTheme="majorBidi" w:eastAsia="Times New Roman" w:hAnsiTheme="majorBidi" w:cstheme="majorBidi"/>
          <w:sz w:val="24"/>
          <w:szCs w:val="24"/>
          <w:lang w:eastAsia="fr-FR"/>
        </w:rPr>
        <w:t> = essentiellement la spectrine (alpha et bêta) qui permet le maintien de la structure du GR (lorsqu'elle est sous sa forme tétramérique), et la protéine 4.1 dont le rôle est de faciliter la liaison entre la spectrine et l'actine.</w:t>
      </w:r>
    </w:p>
    <w:p w14:paraId="6EAC5254" w14:textId="6AD30BA1" w:rsidR="00A55DFF" w:rsidRPr="006A22FC" w:rsidRDefault="00A55DFF" w:rsidP="00C92CAE">
      <w:pPr>
        <w:pStyle w:val="Paragraphedeliste"/>
        <w:numPr>
          <w:ilvl w:val="0"/>
          <w:numId w:val="1"/>
        </w:num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L’ankyrine (protéine d’ancrage) a pour rôle de rattacher le squelette membranaire au reste de la membrane (= entre la chaîne bêta de la spectrine et la protéine bande 3) </w:t>
      </w:r>
    </w:p>
    <w:p w14:paraId="63DF5AA6" w14:textId="4A2FC850" w:rsidR="00A55DFF" w:rsidRPr="006A22FC" w:rsidRDefault="00A55DFF" w:rsidP="005B5A16">
      <w:pPr>
        <w:spacing w:after="0" w:line="240" w:lineRule="auto"/>
        <w:jc w:val="center"/>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noProof/>
          <w:sz w:val="24"/>
          <w:szCs w:val="24"/>
          <w:lang w:eastAsia="fr-FR"/>
        </w:rPr>
        <w:drawing>
          <wp:inline distT="0" distB="0" distL="0" distR="0" wp14:anchorId="51479AD0" wp14:editId="77E368FD">
            <wp:extent cx="3300367" cy="1910338"/>
            <wp:effectExtent l="0" t="0" r="0" b="8890"/>
            <wp:docPr id="6" name="Image 6"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0367" cy="1910338"/>
                    </a:xfrm>
                    <a:prstGeom prst="rect">
                      <a:avLst/>
                    </a:prstGeom>
                    <a:noFill/>
                    <a:ln>
                      <a:noFill/>
                    </a:ln>
                  </pic:spPr>
                </pic:pic>
              </a:graphicData>
            </a:graphic>
          </wp:inline>
        </w:drawing>
      </w:r>
    </w:p>
    <w:p w14:paraId="0AA56F25" w14:textId="77777777" w:rsidR="00A55DFF" w:rsidRPr="006A22FC" w:rsidRDefault="00A55DFF" w:rsidP="00C92CAE">
      <w:pPr>
        <w:spacing w:after="0" w:line="240" w:lineRule="auto"/>
        <w:jc w:val="both"/>
        <w:textAlignment w:val="baseline"/>
        <w:outlineLvl w:val="4"/>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lastRenderedPageBreak/>
        <w:t>2.1.2. Propriétés physiques</w:t>
      </w:r>
    </w:p>
    <w:p w14:paraId="2A50C86F" w14:textId="77777777"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La forme biconcave est la morphologie la plus apte à la déformabilité : les GR passent dans des capillaires de 3 µm de diamètre.</w:t>
      </w:r>
    </w:p>
    <w:p w14:paraId="6A0CB384" w14:textId="47562DA9"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Quand le GR s'écarte de la forme biconcave, il devient fragile, moins souple, ne circule plus dans les petits capillaires et s'hémolyse.</w:t>
      </w:r>
    </w:p>
    <w:p w14:paraId="7FDA3C1A"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La charge négative de la membrane permet d'éviter l'agglutination des hématies.</w:t>
      </w:r>
    </w:p>
    <w:p w14:paraId="3861AE3D"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La membrane permet l'entrée du glucose dans le GR par diffusion passive.</w:t>
      </w:r>
    </w:p>
    <w:p w14:paraId="6B1667F6"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Une pompe ATP ase </w:t>
      </w:r>
      <w:proofErr w:type="spellStart"/>
      <w:r w:rsidRPr="006A22FC">
        <w:rPr>
          <w:rFonts w:asciiTheme="majorBidi" w:eastAsia="Times New Roman" w:hAnsiTheme="majorBidi" w:cstheme="majorBidi"/>
          <w:sz w:val="24"/>
          <w:szCs w:val="24"/>
          <w:lang w:eastAsia="fr-FR"/>
        </w:rPr>
        <w:t>Na+K</w:t>
      </w:r>
      <w:proofErr w:type="spellEnd"/>
      <w:r w:rsidRPr="006A22FC">
        <w:rPr>
          <w:rFonts w:asciiTheme="majorBidi" w:eastAsia="Times New Roman" w:hAnsiTheme="majorBidi" w:cstheme="majorBidi"/>
          <w:sz w:val="24"/>
          <w:szCs w:val="24"/>
          <w:lang w:eastAsia="fr-FR"/>
        </w:rPr>
        <w:t>+ dépendante assure le transport actif des cations et maintient la composition du globule rouge en cation.</w:t>
      </w:r>
    </w:p>
    <w:p w14:paraId="5865752B" w14:textId="557DEBD4"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Remarque. Les pathologies de la membrane érythrocytaire sont </w:t>
      </w:r>
      <w:r w:rsidRPr="006A22FC">
        <w:rPr>
          <w:rFonts w:asciiTheme="majorBidi" w:eastAsia="Times New Roman" w:hAnsiTheme="majorBidi" w:cstheme="majorBidi"/>
          <w:sz w:val="24"/>
          <w:szCs w:val="24"/>
          <w:lang w:eastAsia="fr-FR"/>
        </w:rPr>
        <w:t xml:space="preserve">soit constitutionnelles, correspondant à des anomalies des protéines du cytosquelette (principalement les sphérocytoses et </w:t>
      </w:r>
      <w:proofErr w:type="spellStart"/>
      <w:r w:rsidRPr="006A22FC">
        <w:rPr>
          <w:rFonts w:asciiTheme="majorBidi" w:eastAsia="Times New Roman" w:hAnsiTheme="majorBidi" w:cstheme="majorBidi"/>
          <w:sz w:val="24"/>
          <w:szCs w:val="24"/>
          <w:lang w:eastAsia="fr-FR"/>
        </w:rPr>
        <w:t>elliptocytoses</w:t>
      </w:r>
      <w:proofErr w:type="spellEnd"/>
      <w:r w:rsidRPr="006A22FC">
        <w:rPr>
          <w:rFonts w:asciiTheme="majorBidi" w:eastAsia="Times New Roman" w:hAnsiTheme="majorBidi" w:cstheme="majorBidi"/>
          <w:sz w:val="24"/>
          <w:szCs w:val="24"/>
          <w:lang w:eastAsia="fr-FR"/>
        </w:rPr>
        <w:t>), ou des anomalies des autres protéines du GR (Ag de groupes sanguins), soit acquises, principalement l'hémoglobinurie paroxystique nocturne (perte d'une protéine d'ancrage).</w:t>
      </w:r>
    </w:p>
    <w:p w14:paraId="63F1FCD2" w14:textId="77777777" w:rsidR="00A55DFF" w:rsidRPr="006A22FC" w:rsidRDefault="00A55DFF" w:rsidP="00C92CAE">
      <w:pPr>
        <w:spacing w:after="0" w:line="240" w:lineRule="auto"/>
        <w:jc w:val="both"/>
        <w:textAlignment w:val="baseline"/>
        <w:outlineLvl w:val="3"/>
        <w:rPr>
          <w:rFonts w:asciiTheme="majorBidi" w:eastAsia="Times New Roman" w:hAnsiTheme="majorBidi" w:cstheme="majorBidi"/>
          <w:b/>
          <w:bCs/>
          <w:sz w:val="24"/>
          <w:szCs w:val="24"/>
          <w:lang w:eastAsia="fr-FR"/>
        </w:rPr>
      </w:pPr>
      <w:r w:rsidRPr="006A22FC">
        <w:rPr>
          <w:rFonts w:asciiTheme="majorBidi" w:eastAsia="Times New Roman" w:hAnsiTheme="majorBidi" w:cstheme="majorBidi"/>
          <w:b/>
          <w:bCs/>
          <w:sz w:val="24"/>
          <w:szCs w:val="24"/>
          <w:bdr w:val="none" w:sz="0" w:space="0" w:color="auto" w:frame="1"/>
          <w:lang w:eastAsia="fr-FR"/>
        </w:rPr>
        <w:t>2.2. Métabolisme et enzymes érythrocytaires</w:t>
      </w:r>
    </w:p>
    <w:p w14:paraId="330EE1E7" w14:textId="5F003159"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Le GR doit produire de l'énergie pour 2 objectifs principaux :</w:t>
      </w:r>
    </w:p>
    <w:p w14:paraId="763D2668" w14:textId="2781A8A3" w:rsidR="00A55DFF" w:rsidRPr="006A22FC" w:rsidRDefault="00A55DFF" w:rsidP="00C92CAE">
      <w:pPr>
        <w:pStyle w:val="Paragraphedeliste"/>
        <w:numPr>
          <w:ilvl w:val="0"/>
          <w:numId w:val="1"/>
        </w:num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Maintenir l'intégrité de la membrane, pour assurer le maintien de l'équilibre ionique par fonctionnement des pompes Na+, Ka+, ATP ase qui nécessitent de l'ATP</w:t>
      </w:r>
    </w:p>
    <w:p w14:paraId="22F768C8" w14:textId="576F692E" w:rsidR="00A55DFF" w:rsidRPr="006A22FC" w:rsidRDefault="00A55DFF" w:rsidP="00C92CAE">
      <w:pPr>
        <w:pStyle w:val="Paragraphedeliste"/>
        <w:numPr>
          <w:ilvl w:val="0"/>
          <w:numId w:val="1"/>
        </w:num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Maintenir l'</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sous sa forme active, c'est-à-dire réduite (= fer à l'état divalent). Normalement, chez l'adulte, il y a &lt; 1% de </w:t>
      </w:r>
      <w:proofErr w:type="spellStart"/>
      <w:r w:rsidRPr="006A22FC">
        <w:rPr>
          <w:rFonts w:asciiTheme="majorBidi" w:eastAsia="Times New Roman" w:hAnsiTheme="majorBidi" w:cstheme="majorBidi"/>
          <w:sz w:val="24"/>
          <w:szCs w:val="24"/>
          <w:lang w:eastAsia="fr-FR"/>
        </w:rPr>
        <w:t>methémoglobine</w:t>
      </w:r>
      <w:proofErr w:type="spellEnd"/>
      <w:r w:rsidRPr="006A22FC">
        <w:rPr>
          <w:rFonts w:asciiTheme="majorBidi" w:eastAsia="Times New Roman" w:hAnsiTheme="majorBidi" w:cstheme="majorBidi"/>
          <w:sz w:val="24"/>
          <w:szCs w:val="24"/>
          <w:lang w:eastAsia="fr-FR"/>
        </w:rPr>
        <w:t xml:space="preserve"> (= fer à l'état trivalent).</w:t>
      </w:r>
    </w:p>
    <w:p w14:paraId="087B8405" w14:textId="07F8FA2D"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noProof/>
          <w:sz w:val="24"/>
          <w:szCs w:val="24"/>
          <w:bdr w:val="none" w:sz="0" w:space="0" w:color="auto" w:frame="1"/>
          <w:lang w:eastAsia="fr-FR"/>
        </w:rPr>
        <w:drawing>
          <wp:inline distT="0" distB="0" distL="0" distR="0" wp14:anchorId="430B0FE7" wp14:editId="367F5F13">
            <wp:extent cx="5189795" cy="3348917"/>
            <wp:effectExtent l="0" t="0" r="0" b="4445"/>
            <wp:docPr id="5" name="Image 5"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8678" cy="3354649"/>
                    </a:xfrm>
                    <a:prstGeom prst="rect">
                      <a:avLst/>
                    </a:prstGeom>
                    <a:noFill/>
                    <a:ln>
                      <a:noFill/>
                    </a:ln>
                  </pic:spPr>
                </pic:pic>
              </a:graphicData>
            </a:graphic>
          </wp:inline>
        </w:drawing>
      </w:r>
    </w:p>
    <w:p w14:paraId="452D8664" w14:textId="77777777" w:rsidR="00A55DFF" w:rsidRPr="006A22FC" w:rsidRDefault="00A55DFF" w:rsidP="00C92CAE">
      <w:pPr>
        <w:spacing w:after="0" w:line="240" w:lineRule="auto"/>
        <w:jc w:val="both"/>
        <w:textAlignment w:val="baseline"/>
        <w:outlineLvl w:val="4"/>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2.2.1 Métabolisme énergétique</w:t>
      </w:r>
    </w:p>
    <w:p w14:paraId="66BAD8B8" w14:textId="67FD8D1C" w:rsidR="00A55DFF" w:rsidRPr="006A22FC" w:rsidRDefault="00653FEC"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w:t>
      </w:r>
      <w:r w:rsidR="00A55DFF" w:rsidRPr="006A22FC">
        <w:rPr>
          <w:rFonts w:asciiTheme="majorBidi" w:eastAsia="Times New Roman" w:hAnsiTheme="majorBidi" w:cstheme="majorBidi"/>
          <w:b/>
          <w:bCs/>
          <w:sz w:val="24"/>
          <w:szCs w:val="24"/>
          <w:bdr w:val="none" w:sz="0" w:space="0" w:color="auto" w:frame="1"/>
          <w:lang w:eastAsia="fr-FR"/>
        </w:rPr>
        <w:t>Voie directe = glycolyse anaérobie</w:t>
      </w:r>
      <w:r w:rsidR="00A55DFF" w:rsidRPr="006A22FC">
        <w:rPr>
          <w:rFonts w:asciiTheme="majorBidi" w:eastAsia="Times New Roman" w:hAnsiTheme="majorBidi" w:cstheme="majorBidi"/>
          <w:sz w:val="24"/>
          <w:szCs w:val="24"/>
          <w:lang w:eastAsia="fr-FR"/>
        </w:rPr>
        <w:t xml:space="preserve">. 90% du glucose est métabolisé par cette voie, qui dégrade le glucose en 2 trioses phosphates, et produit de l'ATP, du NADH réduit (= co-enzyme de la </w:t>
      </w:r>
      <w:proofErr w:type="spellStart"/>
      <w:r w:rsidR="00A55DFF" w:rsidRPr="006A22FC">
        <w:rPr>
          <w:rFonts w:asciiTheme="majorBidi" w:eastAsia="Times New Roman" w:hAnsiTheme="majorBidi" w:cstheme="majorBidi"/>
          <w:sz w:val="24"/>
          <w:szCs w:val="24"/>
          <w:lang w:eastAsia="fr-FR"/>
        </w:rPr>
        <w:t>methémoglobine</w:t>
      </w:r>
      <w:proofErr w:type="spellEnd"/>
      <w:r w:rsidR="00A55DFF" w:rsidRPr="006A22FC">
        <w:rPr>
          <w:rFonts w:asciiTheme="majorBidi" w:eastAsia="Times New Roman" w:hAnsiTheme="majorBidi" w:cstheme="majorBidi"/>
          <w:sz w:val="24"/>
          <w:szCs w:val="24"/>
          <w:lang w:eastAsia="fr-FR"/>
        </w:rPr>
        <w:t xml:space="preserve"> réductase) et du lactate.</w:t>
      </w:r>
    </w:p>
    <w:p w14:paraId="09FE850B" w14:textId="4CC01584" w:rsidR="00A55DFF" w:rsidRPr="006A22FC" w:rsidRDefault="00653FEC"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 xml:space="preserve">- </w:t>
      </w:r>
      <w:r w:rsidR="00A55DFF" w:rsidRPr="006A22FC">
        <w:rPr>
          <w:rFonts w:asciiTheme="majorBidi" w:eastAsia="Times New Roman" w:hAnsiTheme="majorBidi" w:cstheme="majorBidi"/>
          <w:b/>
          <w:bCs/>
          <w:sz w:val="24"/>
          <w:szCs w:val="24"/>
          <w:bdr w:val="none" w:sz="0" w:space="0" w:color="auto" w:frame="1"/>
          <w:lang w:eastAsia="fr-FR"/>
        </w:rPr>
        <w:t xml:space="preserve">Cycle des hexoses </w:t>
      </w:r>
      <w:proofErr w:type="gramStart"/>
      <w:r w:rsidR="00A55DFF" w:rsidRPr="006A22FC">
        <w:rPr>
          <w:rFonts w:asciiTheme="majorBidi" w:eastAsia="Times New Roman" w:hAnsiTheme="majorBidi" w:cstheme="majorBidi"/>
          <w:b/>
          <w:bCs/>
          <w:sz w:val="24"/>
          <w:szCs w:val="24"/>
          <w:bdr w:val="none" w:sz="0" w:space="0" w:color="auto" w:frame="1"/>
          <w:lang w:eastAsia="fr-FR"/>
        </w:rPr>
        <w:t>monophosphates:</w:t>
      </w:r>
      <w:proofErr w:type="gramEnd"/>
      <w:r w:rsidR="00A55DFF" w:rsidRPr="006A22FC">
        <w:rPr>
          <w:rFonts w:asciiTheme="majorBidi" w:eastAsia="Times New Roman" w:hAnsiTheme="majorBidi" w:cstheme="majorBidi"/>
          <w:b/>
          <w:bCs/>
          <w:sz w:val="24"/>
          <w:szCs w:val="24"/>
          <w:bdr w:val="none" w:sz="0" w:space="0" w:color="auto" w:frame="1"/>
          <w:lang w:eastAsia="fr-FR"/>
        </w:rPr>
        <w:t xml:space="preserve"> shunt des pentoses; glycolyse aérobie</w:t>
      </w:r>
    </w:p>
    <w:p w14:paraId="224A5C97" w14:textId="163B7F31"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Ce cycle nécessite deux enzymes </w:t>
      </w:r>
      <w:proofErr w:type="gramStart"/>
      <w:r w:rsidRPr="006A22FC">
        <w:rPr>
          <w:rFonts w:asciiTheme="majorBidi" w:eastAsia="Times New Roman" w:hAnsiTheme="majorBidi" w:cstheme="majorBidi"/>
          <w:sz w:val="24"/>
          <w:szCs w:val="24"/>
          <w:lang w:eastAsia="fr-FR"/>
        </w:rPr>
        <w:t>principales:</w:t>
      </w:r>
      <w:proofErr w:type="gramEnd"/>
      <w:r w:rsidRPr="006A22FC">
        <w:rPr>
          <w:rFonts w:asciiTheme="majorBidi" w:eastAsia="Times New Roman" w:hAnsiTheme="majorBidi" w:cstheme="majorBidi"/>
          <w:sz w:val="24"/>
          <w:szCs w:val="24"/>
          <w:lang w:eastAsia="fr-FR"/>
        </w:rPr>
        <w:t xml:space="preserve"> la glucose 6 phosphate déshydrogénase (G6PD) et la 6 </w:t>
      </w:r>
      <w:proofErr w:type="spellStart"/>
      <w:r w:rsidRPr="006A22FC">
        <w:rPr>
          <w:rFonts w:asciiTheme="majorBidi" w:eastAsia="Times New Roman" w:hAnsiTheme="majorBidi" w:cstheme="majorBidi"/>
          <w:sz w:val="24"/>
          <w:szCs w:val="24"/>
          <w:lang w:eastAsia="fr-FR"/>
        </w:rPr>
        <w:t>phospho</w:t>
      </w:r>
      <w:proofErr w:type="spellEnd"/>
      <w:r w:rsidRPr="006A22FC">
        <w:rPr>
          <w:rFonts w:asciiTheme="majorBidi" w:eastAsia="Times New Roman" w:hAnsiTheme="majorBidi" w:cstheme="majorBidi"/>
          <w:sz w:val="24"/>
          <w:szCs w:val="24"/>
          <w:lang w:eastAsia="fr-FR"/>
        </w:rPr>
        <w:t xml:space="preserve"> gluconate déshydrogénase. Cette glycolyse aérobie assure 10% de catabolisme du glucose et produit du NADPH, co-enzyme de la glutathion réductase et de la </w:t>
      </w:r>
      <w:proofErr w:type="spellStart"/>
      <w:r w:rsidRPr="006A22FC">
        <w:rPr>
          <w:rFonts w:asciiTheme="majorBidi" w:eastAsia="Times New Roman" w:hAnsiTheme="majorBidi" w:cstheme="majorBidi"/>
          <w:sz w:val="24"/>
          <w:szCs w:val="24"/>
          <w:lang w:eastAsia="fr-FR"/>
        </w:rPr>
        <w:t>methémoglobine</w:t>
      </w:r>
      <w:proofErr w:type="spellEnd"/>
      <w:r w:rsidRPr="006A22FC">
        <w:rPr>
          <w:rFonts w:asciiTheme="majorBidi" w:eastAsia="Times New Roman" w:hAnsiTheme="majorBidi" w:cstheme="majorBidi"/>
          <w:sz w:val="24"/>
          <w:szCs w:val="24"/>
          <w:lang w:eastAsia="fr-FR"/>
        </w:rPr>
        <w:t xml:space="preserve"> réductase accessoire.</w:t>
      </w:r>
    </w:p>
    <w:p w14:paraId="19CEC62E" w14:textId="038B31F4"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Cycle du 2,3 DPG</w:t>
      </w:r>
      <w:r w:rsidRPr="006A22FC">
        <w:rPr>
          <w:rFonts w:asciiTheme="majorBidi" w:eastAsia="Times New Roman" w:hAnsiTheme="majorBidi" w:cstheme="majorBidi"/>
          <w:sz w:val="24"/>
          <w:szCs w:val="24"/>
          <w:lang w:eastAsia="fr-FR"/>
        </w:rPr>
        <w:t xml:space="preserve"> = shunt de </w:t>
      </w:r>
      <w:proofErr w:type="spellStart"/>
      <w:r w:rsidRPr="006A22FC">
        <w:rPr>
          <w:rFonts w:asciiTheme="majorBidi" w:eastAsia="Times New Roman" w:hAnsiTheme="majorBidi" w:cstheme="majorBidi"/>
          <w:sz w:val="24"/>
          <w:szCs w:val="24"/>
          <w:lang w:eastAsia="fr-FR"/>
        </w:rPr>
        <w:t>Rappoport-</w:t>
      </w:r>
      <w:proofErr w:type="gramStart"/>
      <w:r w:rsidRPr="006A22FC">
        <w:rPr>
          <w:rFonts w:asciiTheme="majorBidi" w:eastAsia="Times New Roman" w:hAnsiTheme="majorBidi" w:cstheme="majorBidi"/>
          <w:sz w:val="24"/>
          <w:szCs w:val="24"/>
          <w:lang w:eastAsia="fr-FR"/>
        </w:rPr>
        <w:t>Luebering</w:t>
      </w:r>
      <w:proofErr w:type="spellEnd"/>
      <w:r w:rsidRPr="006A22FC">
        <w:rPr>
          <w:rFonts w:asciiTheme="majorBidi" w:eastAsia="Times New Roman" w:hAnsiTheme="majorBidi" w:cstheme="majorBidi"/>
          <w:sz w:val="24"/>
          <w:szCs w:val="24"/>
          <w:lang w:eastAsia="fr-FR"/>
        </w:rPr>
        <w:t>:</w:t>
      </w:r>
      <w:proofErr w:type="gramEnd"/>
      <w:r w:rsidRPr="006A22FC">
        <w:rPr>
          <w:rFonts w:asciiTheme="majorBidi" w:eastAsia="Times New Roman" w:hAnsiTheme="majorBidi" w:cstheme="majorBidi"/>
          <w:sz w:val="24"/>
          <w:szCs w:val="24"/>
          <w:lang w:eastAsia="fr-FR"/>
        </w:rPr>
        <w:t xml:space="preserve"> greffé sur la voie anaérobie, il produit le 2,3-DiphosphoGlycérate (2,3-DPG), qui régule l'affinité de l'hémoglobine pour l'oxygène.</w:t>
      </w:r>
    </w:p>
    <w:p w14:paraId="7F079415" w14:textId="77777777" w:rsidR="00A55DFF" w:rsidRPr="006A22FC" w:rsidRDefault="00A55DFF" w:rsidP="00C92CAE">
      <w:pPr>
        <w:spacing w:after="0" w:line="240" w:lineRule="auto"/>
        <w:jc w:val="both"/>
        <w:textAlignment w:val="baseline"/>
        <w:outlineLvl w:val="4"/>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lastRenderedPageBreak/>
        <w:t>2.2.2. Système d'oxydoréduction</w:t>
      </w:r>
    </w:p>
    <w:p w14:paraId="74F69223" w14:textId="47E004BF" w:rsidR="00A55DFF" w:rsidRPr="006A22FC" w:rsidRDefault="00653FEC"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 xml:space="preserve">- </w:t>
      </w:r>
      <w:r w:rsidR="00A55DFF" w:rsidRPr="006A22FC">
        <w:rPr>
          <w:rFonts w:asciiTheme="majorBidi" w:eastAsia="Times New Roman" w:hAnsiTheme="majorBidi" w:cstheme="majorBidi"/>
          <w:b/>
          <w:bCs/>
          <w:sz w:val="24"/>
          <w:szCs w:val="24"/>
          <w:bdr w:val="none" w:sz="0" w:space="0" w:color="auto" w:frame="1"/>
          <w:lang w:eastAsia="fr-FR"/>
        </w:rPr>
        <w:t xml:space="preserve">Système de maintien du glutathion à l'état </w:t>
      </w:r>
      <w:proofErr w:type="gramStart"/>
      <w:r w:rsidR="00A55DFF" w:rsidRPr="006A22FC">
        <w:rPr>
          <w:rFonts w:asciiTheme="majorBidi" w:eastAsia="Times New Roman" w:hAnsiTheme="majorBidi" w:cstheme="majorBidi"/>
          <w:b/>
          <w:bCs/>
          <w:sz w:val="24"/>
          <w:szCs w:val="24"/>
          <w:bdr w:val="none" w:sz="0" w:space="0" w:color="auto" w:frame="1"/>
          <w:lang w:eastAsia="fr-FR"/>
        </w:rPr>
        <w:t>réduit</w:t>
      </w:r>
      <w:r w:rsidR="00A55DFF" w:rsidRPr="006A22FC">
        <w:rPr>
          <w:rFonts w:asciiTheme="majorBidi" w:eastAsia="Times New Roman" w:hAnsiTheme="majorBidi" w:cstheme="majorBidi"/>
          <w:sz w:val="24"/>
          <w:szCs w:val="24"/>
          <w:lang w:eastAsia="fr-FR"/>
        </w:rPr>
        <w:t>:</w:t>
      </w:r>
      <w:proofErr w:type="gramEnd"/>
      <w:r w:rsidR="00A55DFF" w:rsidRPr="006A22FC">
        <w:rPr>
          <w:rFonts w:asciiTheme="majorBidi" w:eastAsia="Times New Roman" w:hAnsiTheme="majorBidi" w:cstheme="majorBidi"/>
          <w:sz w:val="24"/>
          <w:szCs w:val="24"/>
          <w:lang w:eastAsia="fr-FR"/>
        </w:rPr>
        <w:t xml:space="preserve"> le glutathion réduit permet la détoxication des peroxydes et donc protège contre l'oxydation de la globine et de diverses protéines structurales.</w:t>
      </w:r>
    </w:p>
    <w:p w14:paraId="66B6F2F7" w14:textId="0A16AA5B" w:rsidR="00A55DFF" w:rsidRPr="006A22FC" w:rsidRDefault="00653FEC"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 xml:space="preserve">- </w:t>
      </w:r>
      <w:r w:rsidR="00A55DFF" w:rsidRPr="006A22FC">
        <w:rPr>
          <w:rFonts w:asciiTheme="majorBidi" w:eastAsia="Times New Roman" w:hAnsiTheme="majorBidi" w:cstheme="majorBidi"/>
          <w:b/>
          <w:bCs/>
          <w:sz w:val="24"/>
          <w:szCs w:val="24"/>
          <w:bdr w:val="none" w:sz="0" w:space="0" w:color="auto" w:frame="1"/>
          <w:lang w:eastAsia="fr-FR"/>
        </w:rPr>
        <w:t xml:space="preserve">Système de réduction de la </w:t>
      </w:r>
      <w:proofErr w:type="spellStart"/>
      <w:r w:rsidR="00A55DFF" w:rsidRPr="006A22FC">
        <w:rPr>
          <w:rFonts w:asciiTheme="majorBidi" w:eastAsia="Times New Roman" w:hAnsiTheme="majorBidi" w:cstheme="majorBidi"/>
          <w:b/>
          <w:bCs/>
          <w:sz w:val="24"/>
          <w:szCs w:val="24"/>
          <w:bdr w:val="none" w:sz="0" w:space="0" w:color="auto" w:frame="1"/>
          <w:lang w:eastAsia="fr-FR"/>
        </w:rPr>
        <w:t>methémoglobine</w:t>
      </w:r>
      <w:proofErr w:type="spellEnd"/>
      <w:r w:rsidR="00A55DFF" w:rsidRPr="006A22FC">
        <w:rPr>
          <w:rFonts w:asciiTheme="majorBidi" w:eastAsia="Times New Roman" w:hAnsiTheme="majorBidi" w:cstheme="majorBidi"/>
          <w:sz w:val="24"/>
          <w:szCs w:val="24"/>
          <w:lang w:eastAsia="fr-FR"/>
        </w:rPr>
        <w:t> (forme oxydée de l'hémoglobine</w:t>
      </w:r>
      <w:proofErr w:type="gramStart"/>
      <w:r w:rsidR="00A55DFF" w:rsidRPr="006A22FC">
        <w:rPr>
          <w:rFonts w:asciiTheme="majorBidi" w:eastAsia="Times New Roman" w:hAnsiTheme="majorBidi" w:cstheme="majorBidi"/>
          <w:sz w:val="24"/>
          <w:szCs w:val="24"/>
          <w:lang w:eastAsia="fr-FR"/>
        </w:rPr>
        <w:t>):</w:t>
      </w:r>
      <w:proofErr w:type="gramEnd"/>
      <w:r w:rsidR="00A55DFF" w:rsidRPr="006A22FC">
        <w:rPr>
          <w:rFonts w:asciiTheme="majorBidi" w:eastAsia="Times New Roman" w:hAnsiTheme="majorBidi" w:cstheme="majorBidi"/>
          <w:sz w:val="24"/>
          <w:szCs w:val="24"/>
          <w:lang w:eastAsia="fr-FR"/>
        </w:rPr>
        <w:t xml:space="preserve"> ce système repose principalement sur la </w:t>
      </w:r>
      <w:proofErr w:type="spellStart"/>
      <w:r w:rsidR="00A55DFF" w:rsidRPr="006A22FC">
        <w:rPr>
          <w:rFonts w:asciiTheme="majorBidi" w:eastAsia="Times New Roman" w:hAnsiTheme="majorBidi" w:cstheme="majorBidi"/>
          <w:sz w:val="24"/>
          <w:szCs w:val="24"/>
          <w:lang w:eastAsia="fr-FR"/>
        </w:rPr>
        <w:t>methémoglobine</w:t>
      </w:r>
      <w:proofErr w:type="spellEnd"/>
      <w:r w:rsidR="00A55DFF" w:rsidRPr="006A22FC">
        <w:rPr>
          <w:rFonts w:asciiTheme="majorBidi" w:eastAsia="Times New Roman" w:hAnsiTheme="majorBidi" w:cstheme="majorBidi"/>
          <w:sz w:val="24"/>
          <w:szCs w:val="24"/>
          <w:lang w:eastAsia="fr-FR"/>
        </w:rPr>
        <w:t xml:space="preserve"> réductase à NADH. Son déficit entraîne une </w:t>
      </w:r>
      <w:proofErr w:type="spellStart"/>
      <w:r w:rsidR="00A55DFF" w:rsidRPr="006A22FC">
        <w:rPr>
          <w:rFonts w:asciiTheme="majorBidi" w:eastAsia="Times New Roman" w:hAnsiTheme="majorBidi" w:cstheme="majorBidi"/>
          <w:sz w:val="24"/>
          <w:szCs w:val="24"/>
          <w:lang w:eastAsia="fr-FR"/>
        </w:rPr>
        <w:t>methémoglobinémie</w:t>
      </w:r>
      <w:proofErr w:type="spellEnd"/>
      <w:r w:rsidR="00A55DFF" w:rsidRPr="006A22FC">
        <w:rPr>
          <w:rFonts w:asciiTheme="majorBidi" w:eastAsia="Times New Roman" w:hAnsiTheme="majorBidi" w:cstheme="majorBidi"/>
          <w:sz w:val="24"/>
          <w:szCs w:val="24"/>
          <w:lang w:eastAsia="fr-FR"/>
        </w:rPr>
        <w:t xml:space="preserve"> congénitale.</w:t>
      </w:r>
      <w:r w:rsidRPr="006A22FC">
        <w:rPr>
          <w:rFonts w:asciiTheme="majorBidi" w:eastAsia="Times New Roman" w:hAnsiTheme="majorBidi" w:cstheme="majorBidi"/>
          <w:sz w:val="24"/>
          <w:szCs w:val="24"/>
          <w:lang w:eastAsia="fr-FR"/>
        </w:rPr>
        <w:t xml:space="preserve"> </w:t>
      </w:r>
      <w:r w:rsidR="00A55DFF" w:rsidRPr="006A22FC">
        <w:rPr>
          <w:rFonts w:asciiTheme="majorBidi" w:eastAsia="Times New Roman" w:hAnsiTheme="majorBidi" w:cstheme="majorBidi"/>
          <w:sz w:val="24"/>
          <w:szCs w:val="24"/>
          <w:lang w:eastAsia="fr-FR"/>
        </w:rPr>
        <w:t xml:space="preserve">(La </w:t>
      </w:r>
      <w:proofErr w:type="spellStart"/>
      <w:r w:rsidR="00A55DFF" w:rsidRPr="006A22FC">
        <w:rPr>
          <w:rFonts w:asciiTheme="majorBidi" w:eastAsia="Times New Roman" w:hAnsiTheme="majorBidi" w:cstheme="majorBidi"/>
          <w:sz w:val="24"/>
          <w:szCs w:val="24"/>
          <w:lang w:eastAsia="fr-FR"/>
        </w:rPr>
        <w:t>methémoglobine</w:t>
      </w:r>
      <w:proofErr w:type="spellEnd"/>
      <w:r w:rsidR="00A55DFF" w:rsidRPr="006A22FC">
        <w:rPr>
          <w:rFonts w:asciiTheme="majorBidi" w:eastAsia="Times New Roman" w:hAnsiTheme="majorBidi" w:cstheme="majorBidi"/>
          <w:sz w:val="24"/>
          <w:szCs w:val="24"/>
          <w:lang w:eastAsia="fr-FR"/>
        </w:rPr>
        <w:t xml:space="preserve"> réductase à NADPH a un rôle physiologique qui n'est pas prouvé. Elle nécessite du bleu de Méthylène pour fonctionner)</w:t>
      </w:r>
    </w:p>
    <w:p w14:paraId="1393CBB2" w14:textId="07DD4A3C" w:rsidR="00A55DFF" w:rsidRPr="006A22FC" w:rsidRDefault="00A55DFF" w:rsidP="005B5A16">
      <w:pPr>
        <w:spacing w:after="0" w:line="240" w:lineRule="auto"/>
        <w:jc w:val="center"/>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noProof/>
          <w:sz w:val="24"/>
          <w:szCs w:val="24"/>
          <w:lang w:eastAsia="fr-FR"/>
        </w:rPr>
        <w:drawing>
          <wp:inline distT="0" distB="0" distL="0" distR="0" wp14:anchorId="1A6DF1CE" wp14:editId="3CE87492">
            <wp:extent cx="3099008" cy="2026822"/>
            <wp:effectExtent l="0" t="0" r="6350" b="0"/>
            <wp:docPr id="4" name="Image 4"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2910" cy="2055535"/>
                    </a:xfrm>
                    <a:prstGeom prst="rect">
                      <a:avLst/>
                    </a:prstGeom>
                    <a:noFill/>
                    <a:ln>
                      <a:noFill/>
                    </a:ln>
                  </pic:spPr>
                </pic:pic>
              </a:graphicData>
            </a:graphic>
          </wp:inline>
        </w:drawing>
      </w:r>
    </w:p>
    <w:p w14:paraId="27FA169A"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Remarque. Les principales enzymopathies érythrocytaires touchent :</w:t>
      </w:r>
    </w:p>
    <w:p w14:paraId="0FA5BB85" w14:textId="77777777" w:rsidR="00653FEC"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proofErr w:type="gramStart"/>
      <w:r w:rsidRPr="006A22FC">
        <w:rPr>
          <w:rFonts w:asciiTheme="majorBidi" w:eastAsia="Times New Roman" w:hAnsiTheme="majorBidi" w:cstheme="majorBidi"/>
          <w:b/>
          <w:bCs/>
          <w:sz w:val="24"/>
          <w:szCs w:val="24"/>
          <w:bdr w:val="none" w:sz="0" w:space="0" w:color="auto" w:frame="1"/>
          <w:lang w:eastAsia="fr-FR"/>
        </w:rPr>
        <w:t>soit</w:t>
      </w:r>
      <w:proofErr w:type="gramEnd"/>
      <w:r w:rsidRPr="006A22FC">
        <w:rPr>
          <w:rFonts w:asciiTheme="majorBidi" w:eastAsia="Times New Roman" w:hAnsiTheme="majorBidi" w:cstheme="majorBidi"/>
          <w:b/>
          <w:bCs/>
          <w:sz w:val="24"/>
          <w:szCs w:val="24"/>
          <w:bdr w:val="none" w:sz="0" w:space="0" w:color="auto" w:frame="1"/>
          <w:lang w:eastAsia="fr-FR"/>
        </w:rPr>
        <w:t xml:space="preserve"> la glycolyse anaérobie </w:t>
      </w:r>
      <w:r w:rsidRPr="006A22FC">
        <w:rPr>
          <w:rFonts w:asciiTheme="majorBidi" w:eastAsia="Times New Roman" w:hAnsiTheme="majorBidi" w:cstheme="majorBidi"/>
          <w:sz w:val="24"/>
          <w:szCs w:val="24"/>
          <w:lang w:eastAsia="fr-FR"/>
        </w:rPr>
        <w:t xml:space="preserve"> [toutes les enzymes de ce cycle peuvent être retrouvées déficitaires et être à l'origine de pathologies. La principale est le déficit en Pyruvate Kinase (PK) (autres déficits = glucose phosphate isomérase, glucose 3 phosphate glycérate Kinase, 2,3 </w:t>
      </w:r>
      <w:proofErr w:type="gramStart"/>
      <w:r w:rsidRPr="006A22FC">
        <w:rPr>
          <w:rFonts w:asciiTheme="majorBidi" w:eastAsia="Times New Roman" w:hAnsiTheme="majorBidi" w:cstheme="majorBidi"/>
          <w:sz w:val="24"/>
          <w:szCs w:val="24"/>
          <w:lang w:eastAsia="fr-FR"/>
        </w:rPr>
        <w:t>diphosphate</w:t>
      </w:r>
      <w:proofErr w:type="gramEnd"/>
      <w:r w:rsidRPr="006A22FC">
        <w:rPr>
          <w:rFonts w:asciiTheme="majorBidi" w:eastAsia="Times New Roman" w:hAnsiTheme="majorBidi" w:cstheme="majorBidi"/>
          <w:sz w:val="24"/>
          <w:szCs w:val="24"/>
          <w:lang w:eastAsia="fr-FR"/>
        </w:rPr>
        <w:t xml:space="preserve"> glycérate mutase)],</w:t>
      </w:r>
    </w:p>
    <w:p w14:paraId="1FB76E00" w14:textId="29EA2895"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proofErr w:type="gramStart"/>
      <w:r w:rsidRPr="006A22FC">
        <w:rPr>
          <w:rFonts w:asciiTheme="majorBidi" w:eastAsia="Times New Roman" w:hAnsiTheme="majorBidi" w:cstheme="majorBidi"/>
          <w:b/>
          <w:bCs/>
          <w:sz w:val="24"/>
          <w:szCs w:val="24"/>
          <w:bdr w:val="none" w:sz="0" w:space="0" w:color="auto" w:frame="1"/>
          <w:lang w:eastAsia="fr-FR"/>
        </w:rPr>
        <w:t>soit</w:t>
      </w:r>
      <w:proofErr w:type="gramEnd"/>
      <w:r w:rsidRPr="006A22FC">
        <w:rPr>
          <w:rFonts w:asciiTheme="majorBidi" w:eastAsia="Times New Roman" w:hAnsiTheme="majorBidi" w:cstheme="majorBidi"/>
          <w:b/>
          <w:bCs/>
          <w:sz w:val="24"/>
          <w:szCs w:val="24"/>
          <w:bdr w:val="none" w:sz="0" w:space="0" w:color="auto" w:frame="1"/>
          <w:lang w:eastAsia="fr-FR"/>
        </w:rPr>
        <w:t xml:space="preserve"> le shunt des pentoses</w:t>
      </w:r>
      <w:r w:rsidRPr="006A22FC">
        <w:rPr>
          <w:rFonts w:asciiTheme="majorBidi" w:eastAsia="Times New Roman" w:hAnsiTheme="majorBidi" w:cstheme="majorBidi"/>
          <w:sz w:val="24"/>
          <w:szCs w:val="24"/>
          <w:lang w:eastAsia="fr-FR"/>
        </w:rPr>
        <w:t>: déficit en G6PD (plus rarement déficits dans le système de réduction du glutathion).</w:t>
      </w:r>
    </w:p>
    <w:p w14:paraId="5B03C127" w14:textId="77777777" w:rsidR="00A55DFF" w:rsidRPr="006A22FC" w:rsidRDefault="00A55DFF" w:rsidP="00C92CAE">
      <w:pPr>
        <w:spacing w:after="0" w:line="240" w:lineRule="auto"/>
        <w:jc w:val="both"/>
        <w:textAlignment w:val="baseline"/>
        <w:outlineLvl w:val="3"/>
        <w:rPr>
          <w:rFonts w:asciiTheme="majorBidi" w:eastAsia="Times New Roman" w:hAnsiTheme="majorBidi" w:cstheme="majorBidi"/>
          <w:b/>
          <w:bCs/>
          <w:sz w:val="24"/>
          <w:szCs w:val="24"/>
          <w:lang w:eastAsia="fr-FR"/>
        </w:rPr>
      </w:pPr>
      <w:r w:rsidRPr="006A22FC">
        <w:rPr>
          <w:rFonts w:asciiTheme="majorBidi" w:eastAsia="Times New Roman" w:hAnsiTheme="majorBidi" w:cstheme="majorBidi"/>
          <w:b/>
          <w:bCs/>
          <w:sz w:val="24"/>
          <w:szCs w:val="24"/>
          <w:bdr w:val="none" w:sz="0" w:space="0" w:color="auto" w:frame="1"/>
          <w:lang w:eastAsia="fr-FR"/>
        </w:rPr>
        <w:t>2.3. Hémoglobine</w:t>
      </w:r>
    </w:p>
    <w:p w14:paraId="7367DB0E" w14:textId="77777777"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L'hème </w:t>
      </w:r>
      <w:r w:rsidRPr="006A22FC">
        <w:rPr>
          <w:rFonts w:asciiTheme="majorBidi" w:eastAsia="Times New Roman" w:hAnsiTheme="majorBidi" w:cstheme="majorBidi"/>
          <w:sz w:val="24"/>
          <w:szCs w:val="24"/>
          <w:lang w:eastAsia="fr-FR"/>
        </w:rPr>
        <w:t xml:space="preserve">est formé de la </w:t>
      </w:r>
      <w:proofErr w:type="spellStart"/>
      <w:r w:rsidRPr="006A22FC">
        <w:rPr>
          <w:rFonts w:asciiTheme="majorBidi" w:eastAsia="Times New Roman" w:hAnsiTheme="majorBidi" w:cstheme="majorBidi"/>
          <w:sz w:val="24"/>
          <w:szCs w:val="24"/>
          <w:lang w:eastAsia="fr-FR"/>
        </w:rPr>
        <w:t>protoporphyrine</w:t>
      </w:r>
      <w:proofErr w:type="spellEnd"/>
      <w:r w:rsidRPr="006A22FC">
        <w:rPr>
          <w:rFonts w:asciiTheme="majorBidi" w:eastAsia="Times New Roman" w:hAnsiTheme="majorBidi" w:cstheme="majorBidi"/>
          <w:sz w:val="24"/>
          <w:szCs w:val="24"/>
          <w:lang w:eastAsia="fr-FR"/>
        </w:rPr>
        <w:t xml:space="preserve"> (quatre noyaux pyrroles unis par les ponts </w:t>
      </w:r>
      <w:proofErr w:type="spellStart"/>
      <w:r w:rsidRPr="006A22FC">
        <w:rPr>
          <w:rFonts w:asciiTheme="majorBidi" w:eastAsia="Times New Roman" w:hAnsiTheme="majorBidi" w:cstheme="majorBidi"/>
          <w:sz w:val="24"/>
          <w:szCs w:val="24"/>
          <w:lang w:eastAsia="fr-FR"/>
        </w:rPr>
        <w:t>méthényles</w:t>
      </w:r>
      <w:proofErr w:type="spellEnd"/>
      <w:r w:rsidRPr="006A22FC">
        <w:rPr>
          <w:rFonts w:asciiTheme="majorBidi" w:eastAsia="Times New Roman" w:hAnsiTheme="majorBidi" w:cstheme="majorBidi"/>
          <w:sz w:val="24"/>
          <w:szCs w:val="24"/>
          <w:lang w:eastAsia="fr-FR"/>
        </w:rPr>
        <w:t>), à laquelle est lié un atome de fer à l'état ferreux en position centrale de l'hème, qui se lie :</w:t>
      </w:r>
    </w:p>
    <w:p w14:paraId="595C0975" w14:textId="34A451B2"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aux quatre atomes d'azote de </w:t>
      </w:r>
      <w:proofErr w:type="gramStart"/>
      <w:r w:rsidRPr="006A22FC">
        <w:rPr>
          <w:rFonts w:asciiTheme="majorBidi" w:eastAsia="Times New Roman" w:hAnsiTheme="majorBidi" w:cstheme="majorBidi"/>
          <w:sz w:val="24"/>
          <w:szCs w:val="24"/>
          <w:lang w:eastAsia="fr-FR"/>
        </w:rPr>
        <w:t>la  </w:t>
      </w:r>
      <w:proofErr w:type="spellStart"/>
      <w:r w:rsidRPr="006A22FC">
        <w:rPr>
          <w:rFonts w:asciiTheme="majorBidi" w:eastAsia="Times New Roman" w:hAnsiTheme="majorBidi" w:cstheme="majorBidi"/>
          <w:sz w:val="24"/>
          <w:szCs w:val="24"/>
          <w:lang w:eastAsia="fr-FR"/>
        </w:rPr>
        <w:t>protoporphyrine</w:t>
      </w:r>
      <w:proofErr w:type="spellEnd"/>
      <w:proofErr w:type="gramEnd"/>
      <w:r w:rsidRPr="006A22FC">
        <w:rPr>
          <w:rFonts w:asciiTheme="majorBidi" w:eastAsia="Times New Roman" w:hAnsiTheme="majorBidi" w:cstheme="majorBidi"/>
          <w:sz w:val="24"/>
          <w:szCs w:val="24"/>
          <w:lang w:eastAsia="fr-FR"/>
        </w:rPr>
        <w:t>,</w:t>
      </w:r>
    </w:p>
    <w:p w14:paraId="3AE3C5EA" w14:textId="1EDED742"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et de part et l'autre du plan de l'hème avec l'O</w:t>
      </w:r>
      <w:r w:rsidRPr="006A22FC">
        <w:rPr>
          <w:rFonts w:asciiTheme="majorBidi" w:eastAsia="Times New Roman" w:hAnsiTheme="majorBidi" w:cstheme="majorBidi"/>
          <w:sz w:val="24"/>
          <w:szCs w:val="24"/>
          <w:bdr w:val="none" w:sz="0" w:space="0" w:color="auto" w:frame="1"/>
          <w:vertAlign w:val="subscript"/>
          <w:lang w:eastAsia="fr-FR"/>
        </w:rPr>
        <w:t>2</w:t>
      </w:r>
      <w:r w:rsidRPr="006A22FC">
        <w:rPr>
          <w:rFonts w:asciiTheme="majorBidi" w:eastAsia="Times New Roman" w:hAnsiTheme="majorBidi" w:cstheme="majorBidi"/>
          <w:sz w:val="24"/>
          <w:szCs w:val="24"/>
          <w:lang w:eastAsia="fr-FR"/>
        </w:rPr>
        <w:t> et avec l’un des acides aminés de la globine.</w:t>
      </w:r>
    </w:p>
    <w:p w14:paraId="77FFAC5B"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i/>
          <w:iCs/>
          <w:sz w:val="24"/>
          <w:szCs w:val="24"/>
          <w:bdr w:val="none" w:sz="0" w:space="0" w:color="auto" w:frame="1"/>
          <w:lang w:eastAsia="fr-FR"/>
        </w:rPr>
        <w:t>Remarque. L’O</w:t>
      </w:r>
      <w:r w:rsidRPr="006A22FC">
        <w:rPr>
          <w:rFonts w:asciiTheme="majorBidi" w:eastAsia="Times New Roman" w:hAnsiTheme="majorBidi" w:cstheme="majorBidi"/>
          <w:i/>
          <w:iCs/>
          <w:sz w:val="24"/>
          <w:szCs w:val="24"/>
          <w:bdr w:val="none" w:sz="0" w:space="0" w:color="auto" w:frame="1"/>
          <w:vertAlign w:val="subscript"/>
          <w:lang w:eastAsia="fr-FR"/>
        </w:rPr>
        <w:t>2</w:t>
      </w:r>
      <w:r w:rsidRPr="006A22FC">
        <w:rPr>
          <w:rFonts w:asciiTheme="majorBidi" w:eastAsia="Times New Roman" w:hAnsiTheme="majorBidi" w:cstheme="majorBidi"/>
          <w:i/>
          <w:iCs/>
          <w:sz w:val="24"/>
          <w:szCs w:val="24"/>
          <w:bdr w:val="none" w:sz="0" w:space="0" w:color="auto" w:frame="1"/>
          <w:lang w:eastAsia="fr-FR"/>
        </w:rPr>
        <w:t xml:space="preserve"> ne peut se lier que si le fer est à l'état ferreux [si fer à l'état ferrique = </w:t>
      </w:r>
      <w:proofErr w:type="spellStart"/>
      <w:r w:rsidRPr="006A22FC">
        <w:rPr>
          <w:rFonts w:asciiTheme="majorBidi" w:eastAsia="Times New Roman" w:hAnsiTheme="majorBidi" w:cstheme="majorBidi"/>
          <w:i/>
          <w:iCs/>
          <w:sz w:val="24"/>
          <w:szCs w:val="24"/>
          <w:bdr w:val="none" w:sz="0" w:space="0" w:color="auto" w:frame="1"/>
          <w:lang w:eastAsia="fr-FR"/>
        </w:rPr>
        <w:t>methémoglobine</w:t>
      </w:r>
      <w:proofErr w:type="spellEnd"/>
      <w:r w:rsidRPr="006A22FC">
        <w:rPr>
          <w:rFonts w:asciiTheme="majorBidi" w:eastAsia="Times New Roman" w:hAnsiTheme="majorBidi" w:cstheme="majorBidi"/>
          <w:i/>
          <w:iCs/>
          <w:sz w:val="24"/>
          <w:szCs w:val="24"/>
          <w:bdr w:val="none" w:sz="0" w:space="0" w:color="auto" w:frame="1"/>
          <w:lang w:eastAsia="fr-FR"/>
        </w:rPr>
        <w:t xml:space="preserve"> qui ne fixe pas l'O</w:t>
      </w:r>
      <w:r w:rsidRPr="006A22FC">
        <w:rPr>
          <w:rFonts w:asciiTheme="majorBidi" w:eastAsia="Times New Roman" w:hAnsiTheme="majorBidi" w:cstheme="majorBidi"/>
          <w:i/>
          <w:iCs/>
          <w:sz w:val="24"/>
          <w:szCs w:val="24"/>
          <w:bdr w:val="none" w:sz="0" w:space="0" w:color="auto" w:frame="1"/>
          <w:vertAlign w:val="subscript"/>
          <w:lang w:eastAsia="fr-FR"/>
        </w:rPr>
        <w:t>2</w:t>
      </w:r>
      <w:r w:rsidRPr="006A22FC">
        <w:rPr>
          <w:rFonts w:asciiTheme="majorBidi" w:eastAsia="Times New Roman" w:hAnsiTheme="majorBidi" w:cstheme="majorBidi"/>
          <w:i/>
          <w:iCs/>
          <w:sz w:val="24"/>
          <w:szCs w:val="24"/>
          <w:bdr w:val="none" w:sz="0" w:space="0" w:color="auto" w:frame="1"/>
          <w:lang w:eastAsia="fr-FR"/>
        </w:rPr>
        <w:t>].</w:t>
      </w:r>
    </w:p>
    <w:p w14:paraId="543CA840" w14:textId="20D32A94"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Chaque complexe hème + globine forme une sous </w:t>
      </w:r>
      <w:proofErr w:type="gramStart"/>
      <w:r w:rsidRPr="006A22FC">
        <w:rPr>
          <w:rFonts w:asciiTheme="majorBidi" w:eastAsia="Times New Roman" w:hAnsiTheme="majorBidi" w:cstheme="majorBidi"/>
          <w:sz w:val="24"/>
          <w:szCs w:val="24"/>
          <w:lang w:eastAsia="fr-FR"/>
        </w:rPr>
        <w:t>unité:</w:t>
      </w:r>
      <w:proofErr w:type="gramEnd"/>
      <w:r w:rsidRPr="006A22FC">
        <w:rPr>
          <w:rFonts w:asciiTheme="majorBidi" w:eastAsia="Times New Roman" w:hAnsiTheme="majorBidi" w:cstheme="majorBidi"/>
          <w:sz w:val="24"/>
          <w:szCs w:val="24"/>
          <w:lang w:eastAsia="fr-FR"/>
        </w:rPr>
        <w:t xml:space="preserve"> les quatre sous-unités s'adaptent les unes aux autres pour former un tétraèdre = la molécule d'hémoglobine.</w:t>
      </w:r>
    </w:p>
    <w:p w14:paraId="60152497" w14:textId="77777777" w:rsidR="00653FEC" w:rsidRPr="006A22FC" w:rsidRDefault="00653FEC" w:rsidP="00C92CAE">
      <w:pPr>
        <w:spacing w:after="0" w:line="240" w:lineRule="auto"/>
        <w:jc w:val="both"/>
        <w:textAlignment w:val="baseline"/>
        <w:rPr>
          <w:rFonts w:asciiTheme="majorBidi" w:eastAsia="Times New Roman" w:hAnsiTheme="majorBidi" w:cstheme="majorBidi"/>
          <w:sz w:val="24"/>
          <w:szCs w:val="24"/>
          <w:lang w:eastAsia="fr-FR"/>
        </w:rPr>
      </w:pPr>
    </w:p>
    <w:tbl>
      <w:tblPr>
        <w:tblW w:w="0" w:type="auto"/>
        <w:tblCellMar>
          <w:left w:w="0" w:type="dxa"/>
          <w:right w:w="0" w:type="dxa"/>
        </w:tblCellMar>
        <w:tblLook w:val="04A0" w:firstRow="1" w:lastRow="0" w:firstColumn="1" w:lastColumn="0" w:noHBand="0" w:noVBand="1"/>
      </w:tblPr>
      <w:tblGrid>
        <w:gridCol w:w="5397"/>
        <w:gridCol w:w="3675"/>
      </w:tblGrid>
      <w:tr w:rsidR="00C92CAE" w:rsidRPr="006A22FC" w14:paraId="59F1506F" w14:textId="77777777" w:rsidTr="00A55DFF">
        <w:tc>
          <w:tcPr>
            <w:tcW w:w="0" w:type="auto"/>
            <w:tcBorders>
              <w:top w:val="nil"/>
              <w:left w:val="nil"/>
              <w:bottom w:val="nil"/>
              <w:right w:val="nil"/>
            </w:tcBorders>
            <w:hideMark/>
          </w:tcPr>
          <w:p w14:paraId="360F8048" w14:textId="6996FF75" w:rsidR="00A55DFF" w:rsidRPr="006A22FC" w:rsidRDefault="00A55DFF" w:rsidP="00C92CAE">
            <w:pPr>
              <w:spacing w:after="0" w:line="240" w:lineRule="auto"/>
              <w:jc w:val="both"/>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Hème</w:t>
            </w:r>
            <w:r w:rsidRPr="006A22FC">
              <w:rPr>
                <w:rFonts w:asciiTheme="majorBidi" w:eastAsia="Times New Roman" w:hAnsiTheme="majorBidi" w:cstheme="majorBidi"/>
                <w:sz w:val="24"/>
                <w:szCs w:val="24"/>
                <w:lang w:eastAsia="fr-FR"/>
              </w:rPr>
              <w:t xml:space="preserve"> : </w:t>
            </w:r>
            <w:proofErr w:type="spellStart"/>
            <w:r w:rsidRPr="006A22FC">
              <w:rPr>
                <w:rFonts w:asciiTheme="majorBidi" w:eastAsia="Times New Roman" w:hAnsiTheme="majorBidi" w:cstheme="majorBidi"/>
                <w:sz w:val="24"/>
                <w:szCs w:val="24"/>
                <w:lang w:eastAsia="fr-FR"/>
              </w:rPr>
              <w:t>protoporphyrine</w:t>
            </w:r>
            <w:proofErr w:type="spellEnd"/>
            <w:r w:rsidRPr="006A22FC">
              <w:rPr>
                <w:rFonts w:asciiTheme="majorBidi" w:eastAsia="Times New Roman" w:hAnsiTheme="majorBidi" w:cstheme="majorBidi"/>
                <w:sz w:val="24"/>
                <w:szCs w:val="24"/>
                <w:lang w:eastAsia="fr-FR"/>
              </w:rPr>
              <w:t xml:space="preserve"> avec un atome de Fer (ferreux) qui</w:t>
            </w:r>
            <w:r w:rsidR="00653FEC" w:rsidRPr="006A22FC">
              <w:rPr>
                <w:rFonts w:asciiTheme="majorBidi" w:eastAsia="Times New Roman" w:hAnsiTheme="majorBidi" w:cstheme="majorBidi"/>
                <w:sz w:val="24"/>
                <w:szCs w:val="24"/>
                <w:lang w:eastAsia="fr-FR"/>
              </w:rPr>
              <w:t xml:space="preserve"> </w:t>
            </w:r>
            <w:r w:rsidRPr="006A22FC">
              <w:rPr>
                <w:rFonts w:asciiTheme="majorBidi" w:eastAsia="Times New Roman" w:hAnsiTheme="majorBidi" w:cstheme="majorBidi"/>
                <w:sz w:val="24"/>
                <w:szCs w:val="24"/>
                <w:lang w:eastAsia="fr-FR"/>
              </w:rPr>
              <w:t>se lié aux 4 atomes d’azote des pyrroles, à l’</w:t>
            </w:r>
            <w:proofErr w:type="spellStart"/>
            <w:r w:rsidRPr="006A22FC">
              <w:rPr>
                <w:rFonts w:asciiTheme="majorBidi" w:eastAsia="Times New Roman" w:hAnsiTheme="majorBidi" w:cstheme="majorBidi"/>
                <w:sz w:val="24"/>
                <w:szCs w:val="24"/>
                <w:lang w:eastAsia="fr-FR"/>
              </w:rPr>
              <w:t>histidinede</w:t>
            </w:r>
            <w:proofErr w:type="spellEnd"/>
            <w:r w:rsidRPr="006A22FC">
              <w:rPr>
                <w:rFonts w:asciiTheme="majorBidi" w:eastAsia="Times New Roman" w:hAnsiTheme="majorBidi" w:cstheme="majorBidi"/>
                <w:sz w:val="24"/>
                <w:szCs w:val="24"/>
                <w:lang w:eastAsia="fr-FR"/>
              </w:rPr>
              <w:t xml:space="preserve"> la globine, et à l’oxygène.</w:t>
            </w:r>
          </w:p>
        </w:tc>
        <w:tc>
          <w:tcPr>
            <w:tcW w:w="0" w:type="auto"/>
            <w:tcBorders>
              <w:top w:val="nil"/>
              <w:left w:val="nil"/>
              <w:bottom w:val="nil"/>
              <w:right w:val="nil"/>
            </w:tcBorders>
            <w:hideMark/>
          </w:tcPr>
          <w:p w14:paraId="0BB92C9E" w14:textId="2023D1B9" w:rsidR="00A55DFF" w:rsidRPr="006A22FC" w:rsidRDefault="00A55DFF" w:rsidP="00C92CAE">
            <w:pPr>
              <w:spacing w:after="0" w:line="240" w:lineRule="auto"/>
              <w:jc w:val="both"/>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Globine</w:t>
            </w:r>
            <w:r w:rsidRPr="006A22FC">
              <w:rPr>
                <w:rFonts w:asciiTheme="majorBidi" w:eastAsia="Times New Roman" w:hAnsiTheme="majorBidi" w:cstheme="majorBidi"/>
                <w:sz w:val="24"/>
                <w:szCs w:val="24"/>
                <w:lang w:eastAsia="fr-FR"/>
              </w:rPr>
              <w:t> : chaque chaîne de globine contient</w:t>
            </w:r>
            <w:r w:rsidR="00653FEC" w:rsidRPr="006A22FC">
              <w:rPr>
                <w:rFonts w:asciiTheme="majorBidi" w:eastAsia="Times New Roman" w:hAnsiTheme="majorBidi" w:cstheme="majorBidi"/>
                <w:sz w:val="24"/>
                <w:szCs w:val="24"/>
                <w:lang w:eastAsia="fr-FR"/>
              </w:rPr>
              <w:t xml:space="preserve"> </w:t>
            </w:r>
            <w:r w:rsidRPr="006A22FC">
              <w:rPr>
                <w:rFonts w:asciiTheme="majorBidi" w:eastAsia="Times New Roman" w:hAnsiTheme="majorBidi" w:cstheme="majorBidi"/>
                <w:sz w:val="24"/>
                <w:szCs w:val="24"/>
                <w:lang w:eastAsia="fr-FR"/>
              </w:rPr>
              <w:t>une molécule d’hème</w:t>
            </w:r>
          </w:p>
        </w:tc>
      </w:tr>
      <w:tr w:rsidR="00C92CAE" w:rsidRPr="006A22FC" w14:paraId="6A739A51" w14:textId="77777777" w:rsidTr="00A55DFF">
        <w:tc>
          <w:tcPr>
            <w:tcW w:w="0" w:type="auto"/>
            <w:tcBorders>
              <w:top w:val="nil"/>
              <w:left w:val="nil"/>
              <w:bottom w:val="nil"/>
              <w:right w:val="nil"/>
            </w:tcBorders>
            <w:hideMark/>
          </w:tcPr>
          <w:p w14:paraId="19A7A485"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p w14:paraId="4F5F2EE6" w14:textId="0FD35080"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noProof/>
                <w:sz w:val="24"/>
                <w:szCs w:val="24"/>
                <w:bdr w:val="none" w:sz="0" w:space="0" w:color="auto" w:frame="1"/>
                <w:lang w:eastAsia="fr-FR"/>
              </w:rPr>
              <w:drawing>
                <wp:inline distT="0" distB="0" distL="0" distR="0" wp14:anchorId="06E219FF" wp14:editId="5CC4BCC6">
                  <wp:extent cx="2584966" cy="1304635"/>
                  <wp:effectExtent l="0" t="0" r="6350" b="0"/>
                  <wp:docPr id="3" name="Image 3" descr="Thumbnail image">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umbnail image">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89480" cy="1306913"/>
                          </a:xfrm>
                          <a:prstGeom prst="rect">
                            <a:avLst/>
                          </a:prstGeom>
                          <a:noFill/>
                          <a:ln>
                            <a:noFill/>
                          </a:ln>
                        </pic:spPr>
                      </pic:pic>
                    </a:graphicData>
                  </a:graphic>
                </wp:inline>
              </w:drawing>
            </w:r>
          </w:p>
        </w:tc>
        <w:tc>
          <w:tcPr>
            <w:tcW w:w="0" w:type="auto"/>
            <w:tcBorders>
              <w:top w:val="nil"/>
              <w:left w:val="nil"/>
              <w:bottom w:val="nil"/>
              <w:right w:val="nil"/>
            </w:tcBorders>
            <w:hideMark/>
          </w:tcPr>
          <w:p w14:paraId="11970A52" w14:textId="1B6B3D7E" w:rsidR="00A55DFF" w:rsidRPr="006A22FC" w:rsidRDefault="00A55DFF" w:rsidP="00C92CAE">
            <w:pPr>
              <w:spacing w:after="0" w:line="240" w:lineRule="auto"/>
              <w:jc w:val="both"/>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r w:rsidRPr="006A22FC">
              <w:rPr>
                <w:rFonts w:asciiTheme="majorBidi" w:eastAsia="Times New Roman" w:hAnsiTheme="majorBidi" w:cstheme="majorBidi"/>
                <w:noProof/>
                <w:sz w:val="24"/>
                <w:szCs w:val="24"/>
                <w:bdr w:val="none" w:sz="0" w:space="0" w:color="auto" w:frame="1"/>
                <w:lang w:eastAsia="fr-FR"/>
              </w:rPr>
              <w:drawing>
                <wp:inline distT="0" distB="0" distL="0" distR="0" wp14:anchorId="2B0BFAEB" wp14:editId="798BAC11">
                  <wp:extent cx="2020999" cy="1428001"/>
                  <wp:effectExtent l="0" t="0" r="0" b="1270"/>
                  <wp:docPr id="2" name="Image 2" descr="Thumbnail imag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umbnail image">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23038" cy="1429442"/>
                          </a:xfrm>
                          <a:prstGeom prst="rect">
                            <a:avLst/>
                          </a:prstGeom>
                          <a:noFill/>
                          <a:ln>
                            <a:noFill/>
                          </a:ln>
                        </pic:spPr>
                      </pic:pic>
                    </a:graphicData>
                  </a:graphic>
                </wp:inline>
              </w:drawing>
            </w:r>
          </w:p>
        </w:tc>
      </w:tr>
    </w:tbl>
    <w:p w14:paraId="00C6807C"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lastRenderedPageBreak/>
        <w:t>La globine </w:t>
      </w:r>
      <w:r w:rsidRPr="006A22FC">
        <w:rPr>
          <w:rFonts w:asciiTheme="majorBidi" w:eastAsia="Times New Roman" w:hAnsiTheme="majorBidi" w:cstheme="majorBidi"/>
          <w:sz w:val="24"/>
          <w:szCs w:val="24"/>
          <w:lang w:eastAsia="fr-FR"/>
        </w:rPr>
        <w:t>est une protéine de 141 ou 146 AA, de structure enroulée sur elle-même, et au sein de laquelle se positionne une molécule d’hème, dans une poche hydrophobe. Chaque globine est subdivisée en 8 zones (A à H), utiles pour positionner les anomalies moléculaires en pathologie.</w:t>
      </w:r>
    </w:p>
    <w:p w14:paraId="42D90ABB"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L’hémoglobine</w:t>
      </w:r>
      <w:r w:rsidRPr="006A22FC">
        <w:rPr>
          <w:rFonts w:asciiTheme="majorBidi" w:eastAsia="Times New Roman" w:hAnsiTheme="majorBidi" w:cstheme="majorBidi"/>
          <w:sz w:val="24"/>
          <w:szCs w:val="24"/>
          <w:lang w:eastAsia="fr-FR"/>
        </w:rPr>
        <w:t xml:space="preserve"> est constituée de 4 globines, identiques 2 à 2, et </w:t>
      </w:r>
      <w:proofErr w:type="gramStart"/>
      <w:r w:rsidRPr="006A22FC">
        <w:rPr>
          <w:rFonts w:asciiTheme="majorBidi" w:eastAsia="Times New Roman" w:hAnsiTheme="majorBidi" w:cstheme="majorBidi"/>
          <w:sz w:val="24"/>
          <w:szCs w:val="24"/>
          <w:lang w:eastAsia="fr-FR"/>
        </w:rPr>
        <w:t>a</w:t>
      </w:r>
      <w:proofErr w:type="gramEnd"/>
      <w:r w:rsidRPr="006A22FC">
        <w:rPr>
          <w:rFonts w:asciiTheme="majorBidi" w:eastAsia="Times New Roman" w:hAnsiTheme="majorBidi" w:cstheme="majorBidi"/>
          <w:sz w:val="24"/>
          <w:szCs w:val="24"/>
          <w:lang w:eastAsia="fr-FR"/>
        </w:rPr>
        <w:t xml:space="preserve"> un PM de 64.5 kDa.</w:t>
      </w:r>
    </w:p>
    <w:p w14:paraId="3A83681C" w14:textId="6F29B053" w:rsidR="00A55DFF" w:rsidRPr="006A22FC" w:rsidRDefault="00A55DFF" w:rsidP="005B5A16">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Par exemple l’hémoglobine A est l'hémoglobine adulte, constituée de 2 chaînes alpha (141 AA) et de 2 chaînes bêta (146 AA) (= alpha2 bêta 2).</w:t>
      </w:r>
    </w:p>
    <w:p w14:paraId="2D5E55F1" w14:textId="77777777" w:rsidR="005B5A16" w:rsidRPr="006A22FC" w:rsidRDefault="005B5A16" w:rsidP="005B5A16">
      <w:pPr>
        <w:spacing w:after="0" w:line="240" w:lineRule="auto"/>
        <w:jc w:val="both"/>
        <w:textAlignment w:val="baseline"/>
        <w:rPr>
          <w:rFonts w:asciiTheme="majorBidi" w:eastAsia="Times New Roman" w:hAnsiTheme="majorBidi" w:cstheme="majorBidi"/>
          <w:sz w:val="24"/>
          <w:szCs w:val="24"/>
          <w:lang w:eastAsia="fr-FR"/>
        </w:rPr>
      </w:pPr>
    </w:p>
    <w:p w14:paraId="02D64178" w14:textId="77777777" w:rsidR="00A55DFF" w:rsidRPr="006A22FC" w:rsidRDefault="00A55DFF" w:rsidP="00C92CAE">
      <w:pPr>
        <w:spacing w:after="0" w:line="240" w:lineRule="auto"/>
        <w:jc w:val="both"/>
        <w:textAlignment w:val="baseline"/>
        <w:outlineLvl w:val="4"/>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2.3.2. Ontogénie des gènes de l'hémoglobine :</w:t>
      </w:r>
    </w:p>
    <w:p w14:paraId="48FB01AC" w14:textId="11BB93B8" w:rsidR="00A55DFF" w:rsidRPr="006A22FC" w:rsidRDefault="00A55DFF" w:rsidP="00C92CAE">
      <w:pPr>
        <w:pStyle w:val="Paragraphedeliste"/>
        <w:numPr>
          <w:ilvl w:val="0"/>
          <w:numId w:val="1"/>
        </w:numPr>
        <w:spacing w:after="0" w:line="240" w:lineRule="auto"/>
        <w:ind w:left="0" w:firstLine="360"/>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Les gènes de la globine dérivent tous d'un même gène ancestral qui codait pour une protéine de transport de l'oxygène. La duplication de gènes (800 millions d'années) a donné naissance à la myoglobine d'une part, protéine de stockage de l'O2, et l'</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d'autre part, protéine de transport de l'O2.</w:t>
      </w:r>
    </w:p>
    <w:p w14:paraId="0FA3CB79"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i/>
          <w:iCs/>
          <w:sz w:val="24"/>
          <w:szCs w:val="24"/>
          <w:bdr w:val="none" w:sz="0" w:space="0" w:color="auto" w:frame="1"/>
          <w:lang w:eastAsia="fr-FR"/>
        </w:rPr>
        <w:t xml:space="preserve">Apparition successive des diverses chaînes de globine au cours de </w:t>
      </w:r>
      <w:proofErr w:type="gramStart"/>
      <w:r w:rsidRPr="006A22FC">
        <w:rPr>
          <w:rFonts w:asciiTheme="majorBidi" w:eastAsia="Times New Roman" w:hAnsiTheme="majorBidi" w:cstheme="majorBidi"/>
          <w:i/>
          <w:iCs/>
          <w:sz w:val="24"/>
          <w:szCs w:val="24"/>
          <w:bdr w:val="none" w:sz="0" w:space="0" w:color="auto" w:frame="1"/>
          <w:lang w:eastAsia="fr-FR"/>
        </w:rPr>
        <w:t>l'ontogénie</w:t>
      </w:r>
      <w:r w:rsidRPr="006A22FC">
        <w:rPr>
          <w:rFonts w:asciiTheme="majorBidi" w:eastAsia="Times New Roman" w:hAnsiTheme="majorBidi" w:cstheme="majorBidi"/>
          <w:sz w:val="24"/>
          <w:szCs w:val="24"/>
          <w:lang w:eastAsia="fr-FR"/>
        </w:rPr>
        <w:t>:</w:t>
      </w:r>
      <w:proofErr w:type="gramEnd"/>
    </w:p>
    <w:p w14:paraId="356D7535" w14:textId="77777777"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chez l'embryon on retrouve l'hémoglobine embryonnaire Gower 1 (zéta2 epsilon2), puis plus tardivement (début du 3ième mois de gestation) les hémoglobines Gower 2 (alpha2 epsilon2) et Portland (zéta2 gamma2) quand débute la synthèse des chaines gamma et alpha.</w:t>
      </w:r>
    </w:p>
    <w:p w14:paraId="15992051" w14:textId="77777777" w:rsidR="00A55DFF" w:rsidRPr="006A22FC" w:rsidRDefault="00A55DFF" w:rsidP="00C92CAE">
      <w:pPr>
        <w:spacing w:after="0" w:line="240" w:lineRule="auto"/>
        <w:ind w:firstLine="567"/>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à partir de 5 – 6 mois la synthèse de chaîne gamma est majoritaire par rapport aux chaines </w:t>
      </w:r>
      <w:proofErr w:type="spellStart"/>
      <w:r w:rsidRPr="006A22FC">
        <w:rPr>
          <w:rFonts w:asciiTheme="majorBidi" w:eastAsia="Times New Roman" w:hAnsiTheme="majorBidi" w:cstheme="majorBidi"/>
          <w:sz w:val="24"/>
          <w:szCs w:val="24"/>
          <w:lang w:eastAsia="fr-FR"/>
        </w:rPr>
        <w:t>zéta</w:t>
      </w:r>
      <w:proofErr w:type="spellEnd"/>
      <w:r w:rsidRPr="006A22FC">
        <w:rPr>
          <w:rFonts w:asciiTheme="majorBidi" w:eastAsia="Times New Roman" w:hAnsiTheme="majorBidi" w:cstheme="majorBidi"/>
          <w:sz w:val="24"/>
          <w:szCs w:val="24"/>
          <w:lang w:eastAsia="fr-FR"/>
        </w:rPr>
        <w:t xml:space="preserve"> et epsilon, et l'</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F est majoritaire (</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fœtale : alpha2 gamma2)</w:t>
      </w:r>
    </w:p>
    <w:p w14:paraId="047A319A" w14:textId="77777777" w:rsidR="00A55DFF" w:rsidRPr="006A22FC" w:rsidRDefault="00A55DFF" w:rsidP="00C92CAE">
      <w:pPr>
        <w:spacing w:after="0" w:line="240" w:lineRule="auto"/>
        <w:ind w:firstLine="567"/>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au voisinage de la naissance la synthèse de chaîne bêta débute (</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A ou adulte = alpha2 bêta2), de même que la chaîne delta (qui reste minoritaire, donnant l'</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A2 alpha2 delta2) ;</w:t>
      </w:r>
    </w:p>
    <w:p w14:paraId="11984FD4" w14:textId="77777777" w:rsidR="00A55DFF" w:rsidRPr="006A22FC" w:rsidRDefault="00A55DFF" w:rsidP="00C92CAE">
      <w:pPr>
        <w:spacing w:after="0" w:line="240" w:lineRule="auto"/>
        <w:ind w:firstLine="567"/>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dès la naissance la synthèse de chaine gamma cesse : l’</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F aura totalement disparu du sang avant l’âge de 1 an.</w:t>
      </w:r>
    </w:p>
    <w:p w14:paraId="1B3B3DDA"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p w14:paraId="4AC092C3" w14:textId="191840C0"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Chez l'adulte on retrouve :</w:t>
      </w:r>
      <w:r w:rsidR="00C92CAE" w:rsidRPr="006A22FC">
        <w:rPr>
          <w:rFonts w:asciiTheme="majorBidi" w:eastAsia="Times New Roman" w:hAnsiTheme="majorBidi" w:cstheme="majorBidi"/>
          <w:sz w:val="24"/>
          <w:szCs w:val="24"/>
          <w:lang w:eastAsia="fr-FR"/>
        </w:rPr>
        <w:t xml:space="preserve"> </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A (alpha2 bêta2) &gt; 97 %</w:t>
      </w:r>
    </w:p>
    <w:p w14:paraId="58CB1004" w14:textId="5278C583" w:rsidR="00A55DFF" w:rsidRPr="006A22FC" w:rsidRDefault="00C92CAE" w:rsidP="00C92CAE">
      <w:pPr>
        <w:spacing w:after="0" w:line="240" w:lineRule="auto"/>
        <w:ind w:firstLine="2694"/>
        <w:jc w:val="both"/>
        <w:textAlignment w:val="baseline"/>
        <w:rPr>
          <w:rFonts w:asciiTheme="majorBidi" w:eastAsia="Times New Roman" w:hAnsiTheme="majorBidi" w:cstheme="majorBidi"/>
          <w:sz w:val="24"/>
          <w:szCs w:val="24"/>
          <w:lang w:val="en-US" w:eastAsia="fr-FR"/>
        </w:rPr>
      </w:pPr>
      <w:r w:rsidRPr="006A22FC">
        <w:rPr>
          <w:rFonts w:asciiTheme="majorBidi" w:eastAsia="Times New Roman" w:hAnsiTheme="majorBidi" w:cstheme="majorBidi"/>
          <w:sz w:val="24"/>
          <w:szCs w:val="24"/>
          <w:lang w:eastAsia="fr-FR"/>
        </w:rPr>
        <w:t xml:space="preserve"> </w:t>
      </w:r>
      <w:r w:rsidR="00A55DFF" w:rsidRPr="006A22FC">
        <w:rPr>
          <w:rFonts w:asciiTheme="majorBidi" w:eastAsia="Times New Roman" w:hAnsiTheme="majorBidi" w:cstheme="majorBidi"/>
          <w:sz w:val="24"/>
          <w:szCs w:val="24"/>
          <w:lang w:val="en-US" w:eastAsia="fr-FR"/>
        </w:rPr>
        <w:t>Hb A2 (alpha2 delta2) 1 – 3 %</w:t>
      </w:r>
    </w:p>
    <w:p w14:paraId="013246BE" w14:textId="7E3E2287" w:rsidR="00A55DFF" w:rsidRPr="006A22FC" w:rsidRDefault="00C92CAE" w:rsidP="00C92CAE">
      <w:pPr>
        <w:spacing w:after="0" w:line="240" w:lineRule="auto"/>
        <w:ind w:left="2694"/>
        <w:jc w:val="both"/>
        <w:textAlignment w:val="baseline"/>
        <w:rPr>
          <w:rFonts w:asciiTheme="majorBidi" w:eastAsia="Times New Roman" w:hAnsiTheme="majorBidi" w:cstheme="majorBidi"/>
          <w:sz w:val="24"/>
          <w:szCs w:val="24"/>
          <w:lang w:val="en-US" w:eastAsia="fr-FR"/>
        </w:rPr>
      </w:pPr>
      <w:r w:rsidRPr="006A22FC">
        <w:rPr>
          <w:rFonts w:asciiTheme="majorBidi" w:eastAsia="Times New Roman" w:hAnsiTheme="majorBidi" w:cstheme="majorBidi"/>
          <w:sz w:val="24"/>
          <w:szCs w:val="24"/>
          <w:lang w:val="en-US" w:eastAsia="fr-FR"/>
        </w:rPr>
        <w:t xml:space="preserve"> </w:t>
      </w:r>
      <w:r w:rsidR="00A55DFF" w:rsidRPr="006A22FC">
        <w:rPr>
          <w:rFonts w:asciiTheme="majorBidi" w:eastAsia="Times New Roman" w:hAnsiTheme="majorBidi" w:cstheme="majorBidi"/>
          <w:sz w:val="24"/>
          <w:szCs w:val="24"/>
          <w:lang w:val="en-US" w:eastAsia="fr-FR"/>
        </w:rPr>
        <w:t>Hb F (alpha2 gamma2) &lt; 1 %</w:t>
      </w:r>
    </w:p>
    <w:p w14:paraId="334298E4"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Il y a 2 gènes alpha (alpha1 et alpha2) sur chaque chromosome 16, et un seul gène bêta sur chaque chromosome 11.</w:t>
      </w:r>
    </w:p>
    <w:p w14:paraId="4870D0FD"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i/>
          <w:iCs/>
          <w:sz w:val="24"/>
          <w:szCs w:val="24"/>
          <w:bdr w:val="none" w:sz="0" w:space="0" w:color="auto" w:frame="1"/>
          <w:lang w:eastAsia="fr-FR"/>
        </w:rPr>
        <w:t>Remarques.</w:t>
      </w:r>
    </w:p>
    <w:p w14:paraId="61B80703"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i/>
          <w:iCs/>
          <w:sz w:val="24"/>
          <w:szCs w:val="24"/>
          <w:bdr w:val="none" w:sz="0" w:space="0" w:color="auto" w:frame="1"/>
          <w:lang w:eastAsia="fr-FR"/>
        </w:rPr>
        <w:t>En pathologie, un déficit de synthèse de chaîne alpha pourra produire des effets cliniques dès la naissance (et avant), alors qu’une anomalie de synthèse de la chaîne bêta pourra avoir des répercussions cliniques à partir de 6-9 mois.</w:t>
      </w:r>
    </w:p>
    <w:p w14:paraId="6BF1ECD5"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i/>
          <w:iCs/>
          <w:sz w:val="24"/>
          <w:szCs w:val="24"/>
          <w:bdr w:val="none" w:sz="0" w:space="0" w:color="auto" w:frame="1"/>
          <w:lang w:eastAsia="fr-FR"/>
        </w:rPr>
        <w:t>Certaines maladies acquises peuvent provoquer la réapparition d’une synthèse de chaîne gamma (myélodysplasies) ; il en est de même avec certains médicaments (</w:t>
      </w:r>
      <w:proofErr w:type="spellStart"/>
      <w:r w:rsidRPr="006A22FC">
        <w:rPr>
          <w:rFonts w:asciiTheme="majorBidi" w:eastAsia="Times New Roman" w:hAnsiTheme="majorBidi" w:cstheme="majorBidi"/>
          <w:i/>
          <w:iCs/>
          <w:sz w:val="24"/>
          <w:szCs w:val="24"/>
          <w:bdr w:val="none" w:sz="0" w:space="0" w:color="auto" w:frame="1"/>
          <w:lang w:eastAsia="fr-FR"/>
        </w:rPr>
        <w:t>hydroxyurée</w:t>
      </w:r>
      <w:proofErr w:type="spellEnd"/>
      <w:r w:rsidRPr="006A22FC">
        <w:rPr>
          <w:rFonts w:asciiTheme="majorBidi" w:eastAsia="Times New Roman" w:hAnsiTheme="majorBidi" w:cstheme="majorBidi"/>
          <w:i/>
          <w:iCs/>
          <w:sz w:val="24"/>
          <w:szCs w:val="24"/>
          <w:bdr w:val="none" w:sz="0" w:space="0" w:color="auto" w:frame="1"/>
          <w:lang w:eastAsia="fr-FR"/>
        </w:rPr>
        <w:t xml:space="preserve">) qui provoquent une </w:t>
      </w:r>
      <w:proofErr w:type="spellStart"/>
      <w:r w:rsidRPr="006A22FC">
        <w:rPr>
          <w:rFonts w:asciiTheme="majorBidi" w:eastAsia="Times New Roman" w:hAnsiTheme="majorBidi" w:cstheme="majorBidi"/>
          <w:i/>
          <w:iCs/>
          <w:sz w:val="24"/>
          <w:szCs w:val="24"/>
          <w:bdr w:val="none" w:sz="0" w:space="0" w:color="auto" w:frame="1"/>
          <w:lang w:eastAsia="fr-FR"/>
        </w:rPr>
        <w:t>dysérythropoïèse</w:t>
      </w:r>
      <w:proofErr w:type="spellEnd"/>
      <w:r w:rsidRPr="006A22FC">
        <w:rPr>
          <w:rFonts w:asciiTheme="majorBidi" w:eastAsia="Times New Roman" w:hAnsiTheme="majorBidi" w:cstheme="majorBidi"/>
          <w:i/>
          <w:iCs/>
          <w:sz w:val="24"/>
          <w:szCs w:val="24"/>
          <w:bdr w:val="none" w:sz="0" w:space="0" w:color="auto" w:frame="1"/>
          <w:lang w:eastAsia="fr-FR"/>
        </w:rPr>
        <w:t xml:space="preserve"> avec apparition d’</w:t>
      </w:r>
      <w:proofErr w:type="spellStart"/>
      <w:r w:rsidRPr="006A22FC">
        <w:rPr>
          <w:rFonts w:asciiTheme="majorBidi" w:eastAsia="Times New Roman" w:hAnsiTheme="majorBidi" w:cstheme="majorBidi"/>
          <w:i/>
          <w:iCs/>
          <w:sz w:val="24"/>
          <w:szCs w:val="24"/>
          <w:bdr w:val="none" w:sz="0" w:space="0" w:color="auto" w:frame="1"/>
          <w:lang w:eastAsia="fr-FR"/>
        </w:rPr>
        <w:t>HbF</w:t>
      </w:r>
      <w:proofErr w:type="spellEnd"/>
      <w:r w:rsidRPr="006A22FC">
        <w:rPr>
          <w:rFonts w:asciiTheme="majorBidi" w:eastAsia="Times New Roman" w:hAnsiTheme="majorBidi" w:cstheme="majorBidi"/>
          <w:i/>
          <w:iCs/>
          <w:sz w:val="24"/>
          <w:szCs w:val="24"/>
          <w:bdr w:val="none" w:sz="0" w:space="0" w:color="auto" w:frame="1"/>
          <w:lang w:eastAsia="fr-FR"/>
        </w:rPr>
        <w:t>, mise à profit pour le traitement de la drépanocytose.</w:t>
      </w:r>
    </w:p>
    <w:p w14:paraId="1BF0ABB2" w14:textId="77777777" w:rsidR="00A55DFF" w:rsidRPr="006A22FC" w:rsidRDefault="00A55DFF" w:rsidP="00C92CAE">
      <w:pPr>
        <w:spacing w:after="0" w:line="240" w:lineRule="auto"/>
        <w:jc w:val="both"/>
        <w:textAlignment w:val="baseline"/>
        <w:outlineLvl w:val="4"/>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2.3.3. Fonctions de l'hémoglobine</w:t>
      </w:r>
    </w:p>
    <w:p w14:paraId="0356DF72"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L’</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a pour fonction le </w:t>
      </w:r>
      <w:r w:rsidRPr="006A22FC">
        <w:rPr>
          <w:rFonts w:asciiTheme="majorBidi" w:eastAsia="Times New Roman" w:hAnsiTheme="majorBidi" w:cstheme="majorBidi"/>
          <w:b/>
          <w:bCs/>
          <w:sz w:val="24"/>
          <w:szCs w:val="24"/>
          <w:bdr w:val="none" w:sz="0" w:space="0" w:color="auto" w:frame="1"/>
          <w:lang w:eastAsia="fr-FR"/>
        </w:rPr>
        <w:t>transport de l'oxygène aux tissus</w:t>
      </w:r>
      <w:r w:rsidRPr="006A22FC">
        <w:rPr>
          <w:rFonts w:asciiTheme="majorBidi" w:eastAsia="Times New Roman" w:hAnsiTheme="majorBidi" w:cstheme="majorBidi"/>
          <w:sz w:val="24"/>
          <w:szCs w:val="24"/>
          <w:lang w:eastAsia="fr-FR"/>
        </w:rPr>
        <w:t>.</w:t>
      </w:r>
    </w:p>
    <w:p w14:paraId="01EACE21" w14:textId="77777777"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Il existe deux conformations de l'hémoglobine, l'une à forte affinité pour l'oxygène que l'on appelle l'état relâché (R), l'autre à faible affinité pour l'oxygène, que l'on appelle l'état tendu (T</w:t>
      </w:r>
      <w:proofErr w:type="gramStart"/>
      <w:r w:rsidRPr="006A22FC">
        <w:rPr>
          <w:rFonts w:asciiTheme="majorBidi" w:eastAsia="Times New Roman" w:hAnsiTheme="majorBidi" w:cstheme="majorBidi"/>
          <w:sz w:val="24"/>
          <w:szCs w:val="24"/>
          <w:lang w:eastAsia="fr-FR"/>
        </w:rPr>
        <w:t>):</w:t>
      </w:r>
      <w:proofErr w:type="gramEnd"/>
      <w:r w:rsidRPr="006A22FC">
        <w:rPr>
          <w:rFonts w:asciiTheme="majorBidi" w:eastAsia="Times New Roman" w:hAnsiTheme="majorBidi" w:cstheme="majorBidi"/>
          <w:sz w:val="24"/>
          <w:szCs w:val="24"/>
          <w:lang w:eastAsia="fr-FR"/>
        </w:rPr>
        <w:t xml:space="preserve"> le 2-3 DPG diminue l'affinité de l'hémoglobine pour l'oxygène en stabilisant l'état T.</w:t>
      </w:r>
    </w:p>
    <w:p w14:paraId="68B071B4"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Plusieurs autres facteurs influencent l'affinité de l'hémoglobine pour l'oxygène, le principal étant la pression partielle en oxygène (plus la pression en oxygène est élevée et plus l'affinité de l'</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pour l'oxygène baisse), mais également : baisse du pH, augmentation de la température, ou augmentation du 2,3 DPG ont pour effet une baisse de l'affinité de l'hémoglobine pour l'oxygène.</w:t>
      </w:r>
    </w:p>
    <w:p w14:paraId="5406FCDA"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p w14:paraId="2B1F17B4" w14:textId="77777777" w:rsidR="00A55DFF" w:rsidRPr="006A22FC" w:rsidRDefault="00A55DFF" w:rsidP="00C92CAE">
      <w:pPr>
        <w:pBdr>
          <w:top w:val="dotted" w:sz="6" w:space="11" w:color="C7C4C0"/>
        </w:pBdr>
        <w:spacing w:before="240" w:after="120" w:line="240" w:lineRule="auto"/>
        <w:jc w:val="both"/>
        <w:textAlignment w:val="baseline"/>
        <w:outlineLvl w:val="2"/>
        <w:rPr>
          <w:rFonts w:asciiTheme="majorBidi" w:eastAsia="Times New Roman" w:hAnsiTheme="majorBidi" w:cstheme="majorBidi"/>
          <w:b/>
          <w:bCs/>
          <w:caps/>
          <w:sz w:val="24"/>
          <w:szCs w:val="24"/>
          <w:lang w:eastAsia="fr-FR"/>
        </w:rPr>
      </w:pPr>
      <w:r w:rsidRPr="006A22FC">
        <w:rPr>
          <w:rFonts w:asciiTheme="majorBidi" w:eastAsia="Times New Roman" w:hAnsiTheme="majorBidi" w:cstheme="majorBidi"/>
          <w:b/>
          <w:bCs/>
          <w:caps/>
          <w:sz w:val="24"/>
          <w:szCs w:val="24"/>
          <w:lang w:eastAsia="fr-FR"/>
        </w:rPr>
        <w:lastRenderedPageBreak/>
        <w:t> </w:t>
      </w:r>
    </w:p>
    <w:p w14:paraId="59FE6235" w14:textId="7F69245F" w:rsidR="00A55DFF" w:rsidRPr="006A22FC" w:rsidRDefault="00A55DFF" w:rsidP="00C92CAE">
      <w:pPr>
        <w:pBdr>
          <w:top w:val="dotted" w:sz="6" w:space="11" w:color="C7C4C0"/>
        </w:pBdr>
        <w:spacing w:after="0" w:line="240" w:lineRule="auto"/>
        <w:jc w:val="both"/>
        <w:textAlignment w:val="baseline"/>
        <w:outlineLvl w:val="2"/>
        <w:rPr>
          <w:rFonts w:asciiTheme="majorBidi" w:eastAsia="Times New Roman" w:hAnsiTheme="majorBidi" w:cstheme="majorBidi"/>
          <w:b/>
          <w:bCs/>
          <w:caps/>
          <w:sz w:val="24"/>
          <w:szCs w:val="24"/>
          <w:lang w:eastAsia="fr-FR"/>
        </w:rPr>
      </w:pPr>
      <w:r w:rsidRPr="006A22FC">
        <w:rPr>
          <w:rFonts w:asciiTheme="majorBidi" w:eastAsia="Times New Roman" w:hAnsiTheme="majorBidi" w:cstheme="majorBidi"/>
          <w:b/>
          <w:bCs/>
          <w:caps/>
          <w:sz w:val="24"/>
          <w:szCs w:val="24"/>
          <w:bdr w:val="none" w:sz="0" w:space="0" w:color="auto" w:frame="1"/>
          <w:lang w:eastAsia="fr-FR"/>
        </w:rPr>
        <w:t>3. MÉTHODES D'ÉTUDE DES GLOBULES ROUGES ET DE L'HÉMOGLOBINE</w:t>
      </w:r>
    </w:p>
    <w:p w14:paraId="0F0A7AD3" w14:textId="77777777" w:rsidR="00A55DFF" w:rsidRPr="006A22FC" w:rsidRDefault="00A55DFF" w:rsidP="00C92CAE">
      <w:pPr>
        <w:spacing w:after="0" w:line="240" w:lineRule="auto"/>
        <w:jc w:val="both"/>
        <w:textAlignment w:val="baseline"/>
        <w:outlineLvl w:val="3"/>
        <w:rPr>
          <w:rFonts w:asciiTheme="majorBidi" w:eastAsia="Times New Roman" w:hAnsiTheme="majorBidi" w:cstheme="majorBidi"/>
          <w:b/>
          <w:bCs/>
          <w:sz w:val="24"/>
          <w:szCs w:val="24"/>
          <w:lang w:eastAsia="fr-FR"/>
        </w:rPr>
      </w:pPr>
      <w:r w:rsidRPr="006A22FC">
        <w:rPr>
          <w:rFonts w:asciiTheme="majorBidi" w:eastAsia="Times New Roman" w:hAnsiTheme="majorBidi" w:cstheme="majorBidi"/>
          <w:b/>
          <w:bCs/>
          <w:sz w:val="24"/>
          <w:szCs w:val="24"/>
          <w:bdr w:val="none" w:sz="0" w:space="0" w:color="auto" w:frame="1"/>
          <w:lang w:eastAsia="fr-FR"/>
        </w:rPr>
        <w:t>3.1. L'hémogramme</w:t>
      </w:r>
    </w:p>
    <w:p w14:paraId="6F96CFDE" w14:textId="7CE66580"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Fournit des données quantitatives : voir les valeurs normales selon l’âge</w:t>
      </w:r>
    </w:p>
    <w:p w14:paraId="07B1784E" w14:textId="2DD0DA29"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N° GR : peu utile en pratique</w:t>
      </w:r>
    </w:p>
    <w:p w14:paraId="3E60F72B" w14:textId="404E17B5"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Hémoglobine totale : définit l’anémie et la « polyglobulie » (voir valeurs de référence),</w:t>
      </w:r>
    </w:p>
    <w:p w14:paraId="28F6F441" w14:textId="0EF0592B"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Hématocrite : peu utile pour le diagnostic des anémies,</w:t>
      </w:r>
    </w:p>
    <w:p w14:paraId="25052DF8" w14:textId="35997501"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VGM : permet de définir les microcytoses et les macrocytoses,</w:t>
      </w:r>
    </w:p>
    <w:p w14:paraId="52C13A17" w14:textId="5B2A6B8C"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CCMH : définit la </w:t>
      </w:r>
      <w:proofErr w:type="spellStart"/>
      <w:r w:rsidRPr="006A22FC">
        <w:rPr>
          <w:rFonts w:asciiTheme="majorBidi" w:eastAsia="Times New Roman" w:hAnsiTheme="majorBidi" w:cstheme="majorBidi"/>
          <w:sz w:val="24"/>
          <w:szCs w:val="24"/>
          <w:lang w:eastAsia="fr-FR"/>
        </w:rPr>
        <w:t>normochromie</w:t>
      </w:r>
      <w:proofErr w:type="spellEnd"/>
      <w:r w:rsidRPr="006A22FC">
        <w:rPr>
          <w:rFonts w:asciiTheme="majorBidi" w:eastAsia="Times New Roman" w:hAnsiTheme="majorBidi" w:cstheme="majorBidi"/>
          <w:sz w:val="24"/>
          <w:szCs w:val="24"/>
          <w:lang w:eastAsia="fr-FR"/>
        </w:rPr>
        <w:t xml:space="preserve"> ou l’hypochromie (hyperchromie = rare), càd si la quantité d’</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dans les GR est normale ou diminuée ;</w:t>
      </w:r>
    </w:p>
    <w:p w14:paraId="44ADA05E" w14:textId="37E5D84D"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Nombre de plaquettes et de leucocytes (et formule leucocytaire) : permet de définir si l’anémie observée est isolée ou associée à d’autres anomalies de l’hémogramme.</w:t>
      </w:r>
    </w:p>
    <w:p w14:paraId="6FCE243C"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Fournit aussi des données qualitatives</w:t>
      </w:r>
      <w:r w:rsidRPr="006A22FC">
        <w:rPr>
          <w:rFonts w:asciiTheme="majorBidi" w:eastAsia="Times New Roman" w:hAnsiTheme="majorBidi" w:cstheme="majorBidi"/>
          <w:sz w:val="24"/>
          <w:szCs w:val="24"/>
          <w:lang w:eastAsia="fr-FR"/>
        </w:rPr>
        <w:t xml:space="preserve"> : surtout l’étude des anomalies éventuelles de la morphologie des GR, dont les plus importantes </w:t>
      </w:r>
      <w:proofErr w:type="gramStart"/>
      <w:r w:rsidRPr="006A22FC">
        <w:rPr>
          <w:rFonts w:asciiTheme="majorBidi" w:eastAsia="Times New Roman" w:hAnsiTheme="majorBidi" w:cstheme="majorBidi"/>
          <w:sz w:val="24"/>
          <w:szCs w:val="24"/>
          <w:lang w:eastAsia="fr-FR"/>
        </w:rPr>
        <w:t>sont:</w:t>
      </w:r>
      <w:proofErr w:type="gramEnd"/>
    </w:p>
    <w:p w14:paraId="07B143D7" w14:textId="77777777"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w:t>
      </w:r>
      <w:proofErr w:type="gramStart"/>
      <w:r w:rsidRPr="006A22FC">
        <w:rPr>
          <w:rFonts w:asciiTheme="majorBidi" w:eastAsia="Times New Roman" w:hAnsiTheme="majorBidi" w:cstheme="majorBidi"/>
          <w:sz w:val="24"/>
          <w:szCs w:val="24"/>
          <w:lang w:eastAsia="fr-FR"/>
        </w:rPr>
        <w:t>taille:</w:t>
      </w:r>
      <w:proofErr w:type="gramEnd"/>
      <w:r w:rsidRPr="006A22FC">
        <w:rPr>
          <w:rFonts w:asciiTheme="majorBidi" w:eastAsia="Times New Roman" w:hAnsiTheme="majorBidi" w:cstheme="majorBidi"/>
          <w:sz w:val="24"/>
          <w:szCs w:val="24"/>
          <w:lang w:eastAsia="fr-FR"/>
        </w:rPr>
        <w:t xml:space="preserve"> anisocytose, microcytose ou macrocytose.</w:t>
      </w:r>
    </w:p>
    <w:p w14:paraId="0DAFE0A3" w14:textId="77777777"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w:t>
      </w:r>
      <w:proofErr w:type="gramStart"/>
      <w:r w:rsidRPr="006A22FC">
        <w:rPr>
          <w:rFonts w:asciiTheme="majorBidi" w:eastAsia="Times New Roman" w:hAnsiTheme="majorBidi" w:cstheme="majorBidi"/>
          <w:sz w:val="24"/>
          <w:szCs w:val="24"/>
          <w:lang w:eastAsia="fr-FR"/>
        </w:rPr>
        <w:t>coloration:</w:t>
      </w:r>
      <w:proofErr w:type="gramEnd"/>
      <w:r w:rsidRPr="006A22FC">
        <w:rPr>
          <w:rFonts w:asciiTheme="majorBidi" w:eastAsia="Times New Roman" w:hAnsiTheme="majorBidi" w:cstheme="majorBidi"/>
          <w:sz w:val="24"/>
          <w:szCs w:val="24"/>
          <w:lang w:eastAsia="fr-FR"/>
        </w:rPr>
        <w:t xml:space="preserve"> hypochromie (couleur plus pâle), </w:t>
      </w:r>
      <w:proofErr w:type="spellStart"/>
      <w:r w:rsidRPr="006A22FC">
        <w:rPr>
          <w:rFonts w:asciiTheme="majorBidi" w:eastAsia="Times New Roman" w:hAnsiTheme="majorBidi" w:cstheme="majorBidi"/>
          <w:sz w:val="24"/>
          <w:szCs w:val="24"/>
          <w:lang w:eastAsia="fr-FR"/>
        </w:rPr>
        <w:t>polychromatophilie</w:t>
      </w:r>
      <w:proofErr w:type="spellEnd"/>
      <w:r w:rsidRPr="006A22FC">
        <w:rPr>
          <w:rFonts w:asciiTheme="majorBidi" w:eastAsia="Times New Roman" w:hAnsiTheme="majorBidi" w:cstheme="majorBidi"/>
          <w:sz w:val="24"/>
          <w:szCs w:val="24"/>
          <w:lang w:eastAsia="fr-FR"/>
        </w:rPr>
        <w:t xml:space="preserve"> (mélange de GR colorés en beige rosé et d'autres en un autre teinte, souvent bleutée).</w:t>
      </w:r>
    </w:p>
    <w:p w14:paraId="326D7161" w14:textId="77777777"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inclusions : corps de Howell-Jolly (fragment d'ADN correspondant à un chromosome perdu par le noyau lors d'une </w:t>
      </w:r>
      <w:proofErr w:type="gramStart"/>
      <w:r w:rsidRPr="006A22FC">
        <w:rPr>
          <w:rFonts w:asciiTheme="majorBidi" w:eastAsia="Times New Roman" w:hAnsiTheme="majorBidi" w:cstheme="majorBidi"/>
          <w:sz w:val="24"/>
          <w:szCs w:val="24"/>
          <w:lang w:eastAsia="fr-FR"/>
        </w:rPr>
        <w:t>mitose;</w:t>
      </w:r>
      <w:proofErr w:type="gramEnd"/>
      <w:r w:rsidRPr="006A22FC">
        <w:rPr>
          <w:rFonts w:asciiTheme="majorBidi" w:eastAsia="Times New Roman" w:hAnsiTheme="majorBidi" w:cstheme="majorBidi"/>
          <w:sz w:val="24"/>
          <w:szCs w:val="24"/>
          <w:lang w:eastAsia="fr-FR"/>
        </w:rPr>
        <w:t xml:space="preserve"> un seul par hématie</w:t>
      </w:r>
    </w:p>
    <w:p w14:paraId="353E0166" w14:textId="77777777"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 </w:t>
      </w:r>
      <w:proofErr w:type="gramStart"/>
      <w:r w:rsidRPr="006A22FC">
        <w:rPr>
          <w:rFonts w:asciiTheme="majorBidi" w:eastAsia="Times New Roman" w:hAnsiTheme="majorBidi" w:cstheme="majorBidi"/>
          <w:sz w:val="24"/>
          <w:szCs w:val="24"/>
          <w:lang w:eastAsia="fr-FR"/>
        </w:rPr>
        <w:t>forme:</w:t>
      </w:r>
      <w:proofErr w:type="gramEnd"/>
      <w:r w:rsidRPr="006A22FC">
        <w:rPr>
          <w:rFonts w:asciiTheme="majorBidi" w:eastAsia="Times New Roman" w:hAnsiTheme="majorBidi" w:cstheme="majorBidi"/>
          <w:sz w:val="24"/>
          <w:szCs w:val="24"/>
          <w:lang w:eastAsia="fr-FR"/>
        </w:rPr>
        <w:t xml:space="preserve"> </w:t>
      </w:r>
      <w:proofErr w:type="spellStart"/>
      <w:r w:rsidRPr="006A22FC">
        <w:rPr>
          <w:rFonts w:asciiTheme="majorBidi" w:eastAsia="Times New Roman" w:hAnsiTheme="majorBidi" w:cstheme="majorBidi"/>
          <w:sz w:val="24"/>
          <w:szCs w:val="24"/>
          <w:lang w:eastAsia="fr-FR"/>
        </w:rPr>
        <w:t>poïkilocytose</w:t>
      </w:r>
      <w:proofErr w:type="spellEnd"/>
      <w:r w:rsidRPr="006A22FC">
        <w:rPr>
          <w:rFonts w:asciiTheme="majorBidi" w:eastAsia="Times New Roman" w:hAnsiTheme="majorBidi" w:cstheme="majorBidi"/>
          <w:sz w:val="24"/>
          <w:szCs w:val="24"/>
          <w:lang w:eastAsia="fr-FR"/>
        </w:rPr>
        <w:t xml:space="preserve">; </w:t>
      </w:r>
      <w:proofErr w:type="spellStart"/>
      <w:r w:rsidRPr="006A22FC">
        <w:rPr>
          <w:rFonts w:asciiTheme="majorBidi" w:eastAsia="Times New Roman" w:hAnsiTheme="majorBidi" w:cstheme="majorBidi"/>
          <w:sz w:val="24"/>
          <w:szCs w:val="24"/>
          <w:lang w:eastAsia="fr-FR"/>
        </w:rPr>
        <w:t>sphérocytes</w:t>
      </w:r>
      <w:proofErr w:type="spellEnd"/>
      <w:r w:rsidRPr="006A22FC">
        <w:rPr>
          <w:rFonts w:asciiTheme="majorBidi" w:eastAsia="Times New Roman" w:hAnsiTheme="majorBidi" w:cstheme="majorBidi"/>
          <w:sz w:val="24"/>
          <w:szCs w:val="24"/>
          <w:lang w:eastAsia="fr-FR"/>
        </w:rPr>
        <w:t xml:space="preserve">, </w:t>
      </w:r>
      <w:proofErr w:type="spellStart"/>
      <w:r w:rsidRPr="006A22FC">
        <w:rPr>
          <w:rFonts w:asciiTheme="majorBidi" w:eastAsia="Times New Roman" w:hAnsiTheme="majorBidi" w:cstheme="majorBidi"/>
          <w:sz w:val="24"/>
          <w:szCs w:val="24"/>
          <w:lang w:eastAsia="fr-FR"/>
        </w:rPr>
        <w:t>ovalocytes</w:t>
      </w:r>
      <w:proofErr w:type="spellEnd"/>
      <w:r w:rsidRPr="006A22FC">
        <w:rPr>
          <w:rFonts w:asciiTheme="majorBidi" w:eastAsia="Times New Roman" w:hAnsiTheme="majorBidi" w:cstheme="majorBidi"/>
          <w:sz w:val="24"/>
          <w:szCs w:val="24"/>
          <w:lang w:eastAsia="fr-FR"/>
        </w:rPr>
        <w:t xml:space="preserve">, schizocytes, drépanocytes, </w:t>
      </w:r>
      <w:proofErr w:type="spellStart"/>
      <w:r w:rsidRPr="006A22FC">
        <w:rPr>
          <w:rFonts w:asciiTheme="majorBidi" w:eastAsia="Times New Roman" w:hAnsiTheme="majorBidi" w:cstheme="majorBidi"/>
          <w:sz w:val="24"/>
          <w:szCs w:val="24"/>
          <w:lang w:eastAsia="fr-FR"/>
        </w:rPr>
        <w:t>dacryocytes</w:t>
      </w:r>
      <w:proofErr w:type="spellEnd"/>
      <w:r w:rsidRPr="006A22FC">
        <w:rPr>
          <w:rFonts w:asciiTheme="majorBidi" w:eastAsia="Times New Roman" w:hAnsiTheme="majorBidi" w:cstheme="majorBidi"/>
          <w:sz w:val="24"/>
          <w:szCs w:val="24"/>
          <w:lang w:eastAsia="fr-FR"/>
        </w:rPr>
        <w:t xml:space="preserve"> (= hématies en larmes: toutes maladies avec splénomégalie et/ou myélofibrose).</w:t>
      </w:r>
    </w:p>
    <w:p w14:paraId="6FA7B168" w14:textId="642A0F2D" w:rsidR="00A55DFF" w:rsidRPr="006A22FC" w:rsidRDefault="00A55DFF" w:rsidP="00C92CAE">
      <w:pPr>
        <w:spacing w:after="0" w:line="240" w:lineRule="auto"/>
        <w:jc w:val="both"/>
        <w:textAlignment w:val="baseline"/>
        <w:rPr>
          <w:rFonts w:asciiTheme="majorBidi" w:eastAsia="Times New Roman" w:hAnsiTheme="majorBidi" w:cstheme="majorBidi"/>
          <w:i/>
          <w:iCs/>
          <w:sz w:val="24"/>
          <w:szCs w:val="24"/>
          <w:bdr w:val="none" w:sz="0" w:space="0" w:color="auto" w:frame="1"/>
          <w:lang w:eastAsia="fr-FR"/>
        </w:rPr>
      </w:pPr>
      <w:r w:rsidRPr="006A22FC">
        <w:rPr>
          <w:rFonts w:asciiTheme="majorBidi" w:eastAsia="Times New Roman" w:hAnsiTheme="majorBidi" w:cstheme="majorBidi"/>
          <w:b/>
          <w:bCs/>
          <w:i/>
          <w:iCs/>
          <w:sz w:val="24"/>
          <w:szCs w:val="24"/>
          <w:bdr w:val="none" w:sz="0" w:space="0" w:color="auto" w:frame="1"/>
          <w:lang w:eastAsia="fr-FR"/>
        </w:rPr>
        <w:t>Remarque sur le dosage de l’hémoglobine totale circulante.</w:t>
      </w:r>
      <w:r w:rsidRPr="006A22FC">
        <w:rPr>
          <w:rFonts w:asciiTheme="majorBidi" w:eastAsia="Times New Roman" w:hAnsiTheme="majorBidi" w:cstheme="majorBidi"/>
          <w:i/>
          <w:iCs/>
          <w:sz w:val="24"/>
          <w:szCs w:val="24"/>
          <w:bdr w:val="none" w:sz="0" w:space="0" w:color="auto" w:frame="1"/>
          <w:lang w:eastAsia="fr-FR"/>
        </w:rPr>
        <w:t> Les diverses formes d'</w:t>
      </w:r>
      <w:proofErr w:type="spellStart"/>
      <w:r w:rsidRPr="006A22FC">
        <w:rPr>
          <w:rFonts w:asciiTheme="majorBidi" w:eastAsia="Times New Roman" w:hAnsiTheme="majorBidi" w:cstheme="majorBidi"/>
          <w:i/>
          <w:iCs/>
          <w:sz w:val="24"/>
          <w:szCs w:val="24"/>
          <w:bdr w:val="none" w:sz="0" w:space="0" w:color="auto" w:frame="1"/>
          <w:lang w:eastAsia="fr-FR"/>
        </w:rPr>
        <w:t>Hb</w:t>
      </w:r>
      <w:proofErr w:type="spellEnd"/>
      <w:r w:rsidRPr="006A22FC">
        <w:rPr>
          <w:rFonts w:asciiTheme="majorBidi" w:eastAsia="Times New Roman" w:hAnsiTheme="majorBidi" w:cstheme="majorBidi"/>
          <w:i/>
          <w:iCs/>
          <w:sz w:val="24"/>
          <w:szCs w:val="24"/>
          <w:bdr w:val="none" w:sz="0" w:space="0" w:color="auto" w:frame="1"/>
          <w:lang w:eastAsia="fr-FR"/>
        </w:rPr>
        <w:t xml:space="preserve"> du sang (</w:t>
      </w:r>
      <w:proofErr w:type="spellStart"/>
      <w:r w:rsidRPr="006A22FC">
        <w:rPr>
          <w:rFonts w:asciiTheme="majorBidi" w:eastAsia="Times New Roman" w:hAnsiTheme="majorBidi" w:cstheme="majorBidi"/>
          <w:i/>
          <w:iCs/>
          <w:sz w:val="24"/>
          <w:szCs w:val="24"/>
          <w:bdr w:val="none" w:sz="0" w:space="0" w:color="auto" w:frame="1"/>
          <w:lang w:eastAsia="fr-FR"/>
        </w:rPr>
        <w:t>carbonyl</w:t>
      </w:r>
      <w:proofErr w:type="spellEnd"/>
      <w:r w:rsidRPr="006A22FC">
        <w:rPr>
          <w:rFonts w:asciiTheme="majorBidi" w:eastAsia="Times New Roman" w:hAnsiTheme="majorBidi" w:cstheme="majorBidi"/>
          <w:i/>
          <w:iCs/>
          <w:sz w:val="24"/>
          <w:szCs w:val="24"/>
          <w:bdr w:val="none" w:sz="0" w:space="0" w:color="auto" w:frame="1"/>
          <w:lang w:eastAsia="fr-FR"/>
        </w:rPr>
        <w:t xml:space="preserve"> </w:t>
      </w:r>
      <w:proofErr w:type="spellStart"/>
      <w:r w:rsidRPr="006A22FC">
        <w:rPr>
          <w:rFonts w:asciiTheme="majorBidi" w:eastAsia="Times New Roman" w:hAnsiTheme="majorBidi" w:cstheme="majorBidi"/>
          <w:i/>
          <w:iCs/>
          <w:sz w:val="24"/>
          <w:szCs w:val="24"/>
          <w:bdr w:val="none" w:sz="0" w:space="0" w:color="auto" w:frame="1"/>
          <w:lang w:eastAsia="fr-FR"/>
        </w:rPr>
        <w:t>Hb</w:t>
      </w:r>
      <w:proofErr w:type="spellEnd"/>
      <w:r w:rsidRPr="006A22FC">
        <w:rPr>
          <w:rFonts w:asciiTheme="majorBidi" w:eastAsia="Times New Roman" w:hAnsiTheme="majorBidi" w:cstheme="majorBidi"/>
          <w:i/>
          <w:iCs/>
          <w:sz w:val="24"/>
          <w:szCs w:val="24"/>
          <w:bdr w:val="none" w:sz="0" w:space="0" w:color="auto" w:frame="1"/>
          <w:lang w:eastAsia="fr-FR"/>
        </w:rPr>
        <w:t xml:space="preserve">, </w:t>
      </w:r>
      <w:proofErr w:type="spellStart"/>
      <w:r w:rsidRPr="006A22FC">
        <w:rPr>
          <w:rFonts w:asciiTheme="majorBidi" w:eastAsia="Times New Roman" w:hAnsiTheme="majorBidi" w:cstheme="majorBidi"/>
          <w:i/>
          <w:iCs/>
          <w:sz w:val="24"/>
          <w:szCs w:val="24"/>
          <w:bdr w:val="none" w:sz="0" w:space="0" w:color="auto" w:frame="1"/>
          <w:lang w:eastAsia="fr-FR"/>
        </w:rPr>
        <w:t>oxy</w:t>
      </w:r>
      <w:proofErr w:type="spellEnd"/>
      <w:r w:rsidRPr="006A22FC">
        <w:rPr>
          <w:rFonts w:asciiTheme="majorBidi" w:eastAsia="Times New Roman" w:hAnsiTheme="majorBidi" w:cstheme="majorBidi"/>
          <w:i/>
          <w:iCs/>
          <w:sz w:val="24"/>
          <w:szCs w:val="24"/>
          <w:bdr w:val="none" w:sz="0" w:space="0" w:color="auto" w:frame="1"/>
          <w:lang w:eastAsia="fr-FR"/>
        </w:rPr>
        <w:t xml:space="preserve"> </w:t>
      </w:r>
      <w:proofErr w:type="spellStart"/>
      <w:r w:rsidRPr="006A22FC">
        <w:rPr>
          <w:rFonts w:asciiTheme="majorBidi" w:eastAsia="Times New Roman" w:hAnsiTheme="majorBidi" w:cstheme="majorBidi"/>
          <w:i/>
          <w:iCs/>
          <w:sz w:val="24"/>
          <w:szCs w:val="24"/>
          <w:bdr w:val="none" w:sz="0" w:space="0" w:color="auto" w:frame="1"/>
          <w:lang w:eastAsia="fr-FR"/>
        </w:rPr>
        <w:t>Hb</w:t>
      </w:r>
      <w:proofErr w:type="spellEnd"/>
      <w:r w:rsidRPr="006A22FC">
        <w:rPr>
          <w:rFonts w:asciiTheme="majorBidi" w:eastAsia="Times New Roman" w:hAnsiTheme="majorBidi" w:cstheme="majorBidi"/>
          <w:i/>
          <w:iCs/>
          <w:sz w:val="24"/>
          <w:szCs w:val="24"/>
          <w:bdr w:val="none" w:sz="0" w:space="0" w:color="auto" w:frame="1"/>
          <w:lang w:eastAsia="fr-FR"/>
        </w:rPr>
        <w:t xml:space="preserve">, </w:t>
      </w:r>
      <w:proofErr w:type="spellStart"/>
      <w:r w:rsidRPr="006A22FC">
        <w:rPr>
          <w:rFonts w:asciiTheme="majorBidi" w:eastAsia="Times New Roman" w:hAnsiTheme="majorBidi" w:cstheme="majorBidi"/>
          <w:i/>
          <w:iCs/>
          <w:sz w:val="24"/>
          <w:szCs w:val="24"/>
          <w:bdr w:val="none" w:sz="0" w:space="0" w:color="auto" w:frame="1"/>
          <w:lang w:eastAsia="fr-FR"/>
        </w:rPr>
        <w:t>Hb</w:t>
      </w:r>
      <w:proofErr w:type="spellEnd"/>
      <w:r w:rsidRPr="006A22FC">
        <w:rPr>
          <w:rFonts w:asciiTheme="majorBidi" w:eastAsia="Times New Roman" w:hAnsiTheme="majorBidi" w:cstheme="majorBidi"/>
          <w:i/>
          <w:iCs/>
          <w:sz w:val="24"/>
          <w:szCs w:val="24"/>
          <w:bdr w:val="none" w:sz="0" w:space="0" w:color="auto" w:frame="1"/>
          <w:lang w:eastAsia="fr-FR"/>
        </w:rPr>
        <w:t xml:space="preserve"> réduite…) réagissent avec un réactif qui les transforme toutes en un composé </w:t>
      </w:r>
      <w:proofErr w:type="gramStart"/>
      <w:r w:rsidRPr="006A22FC">
        <w:rPr>
          <w:rFonts w:asciiTheme="majorBidi" w:eastAsia="Times New Roman" w:hAnsiTheme="majorBidi" w:cstheme="majorBidi"/>
          <w:i/>
          <w:iCs/>
          <w:sz w:val="24"/>
          <w:szCs w:val="24"/>
          <w:bdr w:val="none" w:sz="0" w:space="0" w:color="auto" w:frame="1"/>
          <w:lang w:eastAsia="fr-FR"/>
        </w:rPr>
        <w:t>unique,  qui</w:t>
      </w:r>
      <w:proofErr w:type="gramEnd"/>
      <w:r w:rsidRPr="006A22FC">
        <w:rPr>
          <w:rFonts w:asciiTheme="majorBidi" w:eastAsia="Times New Roman" w:hAnsiTheme="majorBidi" w:cstheme="majorBidi"/>
          <w:i/>
          <w:iCs/>
          <w:sz w:val="24"/>
          <w:szCs w:val="24"/>
          <w:bdr w:val="none" w:sz="0" w:space="0" w:color="auto" w:frame="1"/>
          <w:lang w:eastAsia="fr-FR"/>
        </w:rPr>
        <w:t xml:space="preserve"> absorbe la lumière à une longueur d'onde unique (540 nm) : le réactif de Drabkin transforme toutes les  formes d'</w:t>
      </w:r>
      <w:proofErr w:type="spellStart"/>
      <w:r w:rsidRPr="006A22FC">
        <w:rPr>
          <w:rFonts w:asciiTheme="majorBidi" w:eastAsia="Times New Roman" w:hAnsiTheme="majorBidi" w:cstheme="majorBidi"/>
          <w:i/>
          <w:iCs/>
          <w:sz w:val="24"/>
          <w:szCs w:val="24"/>
          <w:bdr w:val="none" w:sz="0" w:space="0" w:color="auto" w:frame="1"/>
          <w:lang w:eastAsia="fr-FR"/>
        </w:rPr>
        <w:t>Hb</w:t>
      </w:r>
      <w:proofErr w:type="spellEnd"/>
      <w:r w:rsidRPr="006A22FC">
        <w:rPr>
          <w:rFonts w:asciiTheme="majorBidi" w:eastAsia="Times New Roman" w:hAnsiTheme="majorBidi" w:cstheme="majorBidi"/>
          <w:i/>
          <w:iCs/>
          <w:sz w:val="24"/>
          <w:szCs w:val="24"/>
          <w:bdr w:val="none" w:sz="0" w:space="0" w:color="auto" w:frame="1"/>
          <w:lang w:eastAsia="fr-FR"/>
        </w:rPr>
        <w:t xml:space="preserve"> en </w:t>
      </w:r>
      <w:proofErr w:type="spellStart"/>
      <w:r w:rsidRPr="006A22FC">
        <w:rPr>
          <w:rFonts w:asciiTheme="majorBidi" w:eastAsia="Times New Roman" w:hAnsiTheme="majorBidi" w:cstheme="majorBidi"/>
          <w:i/>
          <w:iCs/>
          <w:sz w:val="24"/>
          <w:szCs w:val="24"/>
          <w:bdr w:val="none" w:sz="0" w:space="0" w:color="auto" w:frame="1"/>
          <w:lang w:eastAsia="fr-FR"/>
        </w:rPr>
        <w:t>cyanmethémoglobine</w:t>
      </w:r>
      <w:proofErr w:type="spellEnd"/>
      <w:r w:rsidRPr="006A22FC">
        <w:rPr>
          <w:rFonts w:asciiTheme="majorBidi" w:eastAsia="Times New Roman" w:hAnsiTheme="majorBidi" w:cstheme="majorBidi"/>
          <w:i/>
          <w:iCs/>
          <w:sz w:val="24"/>
          <w:szCs w:val="24"/>
          <w:bdr w:val="none" w:sz="0" w:space="0" w:color="auto" w:frame="1"/>
          <w:lang w:eastAsia="fr-FR"/>
        </w:rPr>
        <w:t xml:space="preserve">, le </w:t>
      </w:r>
      <w:proofErr w:type="spellStart"/>
      <w:r w:rsidRPr="006A22FC">
        <w:rPr>
          <w:rFonts w:asciiTheme="majorBidi" w:eastAsia="Times New Roman" w:hAnsiTheme="majorBidi" w:cstheme="majorBidi"/>
          <w:i/>
          <w:iCs/>
          <w:sz w:val="24"/>
          <w:szCs w:val="24"/>
          <w:bdr w:val="none" w:sz="0" w:space="0" w:color="auto" w:frame="1"/>
          <w:lang w:eastAsia="fr-FR"/>
        </w:rPr>
        <w:t>lauryl</w:t>
      </w:r>
      <w:proofErr w:type="spellEnd"/>
      <w:r w:rsidRPr="006A22FC">
        <w:rPr>
          <w:rFonts w:asciiTheme="majorBidi" w:eastAsia="Times New Roman" w:hAnsiTheme="majorBidi" w:cstheme="majorBidi"/>
          <w:i/>
          <w:iCs/>
          <w:sz w:val="24"/>
          <w:szCs w:val="24"/>
          <w:bdr w:val="none" w:sz="0" w:space="0" w:color="auto" w:frame="1"/>
          <w:lang w:eastAsia="fr-FR"/>
        </w:rPr>
        <w:t xml:space="preserve"> sulfate transforme les </w:t>
      </w:r>
      <w:proofErr w:type="spellStart"/>
      <w:r w:rsidRPr="006A22FC">
        <w:rPr>
          <w:rFonts w:asciiTheme="majorBidi" w:eastAsia="Times New Roman" w:hAnsiTheme="majorBidi" w:cstheme="majorBidi"/>
          <w:i/>
          <w:iCs/>
          <w:sz w:val="24"/>
          <w:szCs w:val="24"/>
          <w:bdr w:val="none" w:sz="0" w:space="0" w:color="auto" w:frame="1"/>
          <w:lang w:eastAsia="fr-FR"/>
        </w:rPr>
        <w:t>Hb</w:t>
      </w:r>
      <w:proofErr w:type="spellEnd"/>
      <w:r w:rsidRPr="006A22FC">
        <w:rPr>
          <w:rFonts w:asciiTheme="majorBidi" w:eastAsia="Times New Roman" w:hAnsiTheme="majorBidi" w:cstheme="majorBidi"/>
          <w:i/>
          <w:iCs/>
          <w:sz w:val="24"/>
          <w:szCs w:val="24"/>
          <w:bdr w:val="none" w:sz="0" w:space="0" w:color="auto" w:frame="1"/>
          <w:lang w:eastAsia="fr-FR"/>
        </w:rPr>
        <w:t xml:space="preserve"> en </w:t>
      </w:r>
      <w:proofErr w:type="spellStart"/>
      <w:r w:rsidRPr="006A22FC">
        <w:rPr>
          <w:rFonts w:asciiTheme="majorBidi" w:eastAsia="Times New Roman" w:hAnsiTheme="majorBidi" w:cstheme="majorBidi"/>
          <w:i/>
          <w:iCs/>
          <w:sz w:val="24"/>
          <w:szCs w:val="24"/>
          <w:bdr w:val="none" w:sz="0" w:space="0" w:color="auto" w:frame="1"/>
          <w:lang w:eastAsia="fr-FR"/>
        </w:rPr>
        <w:t>lauryl</w:t>
      </w:r>
      <w:proofErr w:type="spellEnd"/>
      <w:r w:rsidRPr="006A22FC">
        <w:rPr>
          <w:rFonts w:asciiTheme="majorBidi" w:eastAsia="Times New Roman" w:hAnsiTheme="majorBidi" w:cstheme="majorBidi"/>
          <w:i/>
          <w:iCs/>
          <w:sz w:val="24"/>
          <w:szCs w:val="24"/>
          <w:bdr w:val="none" w:sz="0" w:space="0" w:color="auto" w:frame="1"/>
          <w:lang w:eastAsia="fr-FR"/>
        </w:rPr>
        <w:t xml:space="preserve"> hémoglobines, …</w:t>
      </w:r>
    </w:p>
    <w:p w14:paraId="3C950AD0" w14:textId="77777777" w:rsidR="00C92CAE" w:rsidRPr="006A22FC" w:rsidRDefault="00C92CAE" w:rsidP="00C92CAE">
      <w:pPr>
        <w:spacing w:after="0" w:line="240" w:lineRule="auto"/>
        <w:jc w:val="both"/>
        <w:textAlignment w:val="baseline"/>
        <w:rPr>
          <w:rFonts w:asciiTheme="majorBidi" w:eastAsia="Times New Roman" w:hAnsiTheme="majorBidi" w:cstheme="majorBidi"/>
          <w:sz w:val="24"/>
          <w:szCs w:val="24"/>
          <w:lang w:eastAsia="fr-FR"/>
        </w:rPr>
      </w:pPr>
    </w:p>
    <w:p w14:paraId="36E4D381" w14:textId="77777777" w:rsidR="00A55DFF" w:rsidRPr="006A22FC" w:rsidRDefault="00A55DFF" w:rsidP="00C92CAE">
      <w:pPr>
        <w:spacing w:after="0" w:line="240" w:lineRule="auto"/>
        <w:jc w:val="both"/>
        <w:textAlignment w:val="baseline"/>
        <w:outlineLvl w:val="3"/>
        <w:rPr>
          <w:rFonts w:asciiTheme="majorBidi" w:eastAsia="Times New Roman" w:hAnsiTheme="majorBidi" w:cstheme="majorBidi"/>
          <w:b/>
          <w:bCs/>
          <w:sz w:val="24"/>
          <w:szCs w:val="24"/>
          <w:lang w:eastAsia="fr-FR"/>
        </w:rPr>
      </w:pPr>
      <w:r w:rsidRPr="006A22FC">
        <w:rPr>
          <w:rFonts w:asciiTheme="majorBidi" w:eastAsia="Times New Roman" w:hAnsiTheme="majorBidi" w:cstheme="majorBidi"/>
          <w:b/>
          <w:bCs/>
          <w:sz w:val="24"/>
          <w:szCs w:val="24"/>
          <w:bdr w:val="none" w:sz="0" w:space="0" w:color="auto" w:frame="1"/>
          <w:lang w:eastAsia="fr-FR"/>
        </w:rPr>
        <w:t>3.2. Méthodes d'étude de l'hémoglobine.</w:t>
      </w:r>
    </w:p>
    <w:p w14:paraId="348A3BA4" w14:textId="3CCCA2C2"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 </w:t>
      </w:r>
      <w:proofErr w:type="gramStart"/>
      <w:r w:rsidRPr="006A22FC">
        <w:rPr>
          <w:rFonts w:asciiTheme="majorBidi" w:eastAsia="Times New Roman" w:hAnsiTheme="majorBidi" w:cstheme="majorBidi"/>
          <w:b/>
          <w:bCs/>
          <w:sz w:val="24"/>
          <w:szCs w:val="24"/>
          <w:bdr w:val="none" w:sz="0" w:space="0" w:color="auto" w:frame="1"/>
          <w:lang w:eastAsia="fr-FR"/>
        </w:rPr>
        <w:t>Electrophorèse</w:t>
      </w:r>
      <w:r w:rsidRPr="006A22FC">
        <w:rPr>
          <w:rFonts w:asciiTheme="majorBidi" w:eastAsia="Times New Roman" w:hAnsiTheme="majorBidi" w:cstheme="majorBidi"/>
          <w:sz w:val="24"/>
          <w:szCs w:val="24"/>
          <w:lang w:eastAsia="fr-FR"/>
        </w:rPr>
        <w:t>:</w:t>
      </w:r>
      <w:proofErr w:type="gramEnd"/>
      <w:r w:rsidRPr="006A22FC">
        <w:rPr>
          <w:rFonts w:asciiTheme="majorBidi" w:eastAsia="Times New Roman" w:hAnsiTheme="majorBidi" w:cstheme="majorBidi"/>
          <w:sz w:val="24"/>
          <w:szCs w:val="24"/>
          <w:lang w:eastAsia="fr-FR"/>
        </w:rPr>
        <w:t xml:space="preserve"> différentes méthodes permettent de différencier les différentes hémoglobines: sur acétate de cellulose à pH alcalin, sur agar à pH acide…</w:t>
      </w:r>
    </w:p>
    <w:p w14:paraId="361EC351"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On pourra également utiliser l'</w:t>
      </w:r>
      <w:proofErr w:type="spellStart"/>
      <w:r w:rsidRPr="006A22FC">
        <w:rPr>
          <w:rFonts w:asciiTheme="majorBidi" w:eastAsia="Times New Roman" w:hAnsiTheme="majorBidi" w:cstheme="majorBidi"/>
          <w:sz w:val="24"/>
          <w:szCs w:val="24"/>
          <w:lang w:eastAsia="fr-FR"/>
        </w:rPr>
        <w:t>isoélectrofocalisation</w:t>
      </w:r>
      <w:proofErr w:type="spellEnd"/>
      <w:r w:rsidRPr="006A22FC">
        <w:rPr>
          <w:rFonts w:asciiTheme="majorBidi" w:eastAsia="Times New Roman" w:hAnsiTheme="majorBidi" w:cstheme="majorBidi"/>
          <w:sz w:val="24"/>
          <w:szCs w:val="24"/>
          <w:lang w:eastAsia="fr-FR"/>
        </w:rPr>
        <w:t xml:space="preserve"> sur acrylamide dans un gradient de pH, ou la </w:t>
      </w:r>
      <w:r w:rsidRPr="006A22FC">
        <w:rPr>
          <w:rFonts w:asciiTheme="majorBidi" w:eastAsia="Times New Roman" w:hAnsiTheme="majorBidi" w:cstheme="majorBidi"/>
          <w:b/>
          <w:bCs/>
          <w:sz w:val="24"/>
          <w:szCs w:val="24"/>
          <w:bdr w:val="none" w:sz="0" w:space="0" w:color="auto" w:frame="1"/>
          <w:lang w:eastAsia="fr-FR"/>
        </w:rPr>
        <w:t>chromatographie</w:t>
      </w:r>
      <w:r w:rsidRPr="006A22FC">
        <w:rPr>
          <w:rFonts w:asciiTheme="majorBidi" w:eastAsia="Times New Roman" w:hAnsiTheme="majorBidi" w:cstheme="majorBidi"/>
          <w:sz w:val="24"/>
          <w:szCs w:val="24"/>
          <w:lang w:eastAsia="fr-FR"/>
        </w:rPr>
        <w:t>.</w:t>
      </w:r>
    </w:p>
    <w:p w14:paraId="597B0A83"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Il existe diverses méthodes moléculaires</w:t>
      </w:r>
      <w:r w:rsidRPr="006A22FC">
        <w:rPr>
          <w:rFonts w:asciiTheme="majorBidi" w:eastAsia="Times New Roman" w:hAnsiTheme="majorBidi" w:cstheme="majorBidi"/>
          <w:sz w:val="24"/>
          <w:szCs w:val="24"/>
          <w:lang w:eastAsia="fr-FR"/>
        </w:rPr>
        <w:t> d’étude de la globine, déterminant précisément la nature de chaque anomalie (la mutation et le ou les AA mutés), et de déterminer la quantité de chaîne produite.</w:t>
      </w:r>
    </w:p>
    <w:p w14:paraId="604F2DC3"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p w14:paraId="589B7A70" w14:textId="6C561D66" w:rsidR="00A55DFF" w:rsidRPr="006A22FC" w:rsidRDefault="00A55DFF" w:rsidP="005B5A16">
      <w:pPr>
        <w:spacing w:after="0" w:line="240" w:lineRule="auto"/>
        <w:jc w:val="center"/>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noProof/>
          <w:sz w:val="24"/>
          <w:szCs w:val="24"/>
          <w:bdr w:val="none" w:sz="0" w:space="0" w:color="auto" w:frame="1"/>
          <w:lang w:eastAsia="fr-FR"/>
        </w:rPr>
        <w:drawing>
          <wp:inline distT="0" distB="0" distL="0" distR="0" wp14:anchorId="05A5D474" wp14:editId="02426158">
            <wp:extent cx="4021388" cy="1997702"/>
            <wp:effectExtent l="0" t="0" r="0" b="3175"/>
            <wp:docPr id="1" name="Image 1"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26950" cy="2000465"/>
                    </a:xfrm>
                    <a:prstGeom prst="rect">
                      <a:avLst/>
                    </a:prstGeom>
                    <a:noFill/>
                    <a:ln>
                      <a:noFill/>
                    </a:ln>
                  </pic:spPr>
                </pic:pic>
              </a:graphicData>
            </a:graphic>
          </wp:inline>
        </w:drawing>
      </w:r>
    </w:p>
    <w:p w14:paraId="5FB50A67" w14:textId="77777777" w:rsidR="00A55DFF" w:rsidRPr="006A22FC" w:rsidRDefault="00A55DFF" w:rsidP="00C92CAE">
      <w:pPr>
        <w:spacing w:before="240" w:after="120" w:line="240" w:lineRule="auto"/>
        <w:jc w:val="both"/>
        <w:textAlignment w:val="baseline"/>
        <w:outlineLvl w:val="3"/>
        <w:rPr>
          <w:rFonts w:asciiTheme="majorBidi" w:eastAsia="Times New Roman" w:hAnsiTheme="majorBidi" w:cstheme="majorBidi"/>
          <w:b/>
          <w:bCs/>
          <w:sz w:val="24"/>
          <w:szCs w:val="24"/>
          <w:lang w:eastAsia="fr-FR"/>
        </w:rPr>
      </w:pPr>
      <w:r w:rsidRPr="006A22FC">
        <w:rPr>
          <w:rFonts w:asciiTheme="majorBidi" w:eastAsia="Times New Roman" w:hAnsiTheme="majorBidi" w:cstheme="majorBidi"/>
          <w:b/>
          <w:bCs/>
          <w:sz w:val="24"/>
          <w:szCs w:val="24"/>
          <w:lang w:eastAsia="fr-FR"/>
        </w:rPr>
        <w:t> </w:t>
      </w:r>
    </w:p>
    <w:p w14:paraId="3F5D0AF4" w14:textId="77777777" w:rsidR="00A55DFF" w:rsidRPr="006A22FC" w:rsidRDefault="00A55DFF" w:rsidP="00C92CAE">
      <w:pPr>
        <w:spacing w:after="0" w:line="240" w:lineRule="auto"/>
        <w:jc w:val="both"/>
        <w:textAlignment w:val="baseline"/>
        <w:outlineLvl w:val="3"/>
        <w:rPr>
          <w:rFonts w:asciiTheme="majorBidi" w:eastAsia="Times New Roman" w:hAnsiTheme="majorBidi" w:cstheme="majorBidi"/>
          <w:b/>
          <w:bCs/>
          <w:sz w:val="24"/>
          <w:szCs w:val="24"/>
          <w:lang w:eastAsia="fr-FR"/>
        </w:rPr>
      </w:pPr>
      <w:r w:rsidRPr="006A22FC">
        <w:rPr>
          <w:rFonts w:asciiTheme="majorBidi" w:eastAsia="Times New Roman" w:hAnsiTheme="majorBidi" w:cstheme="majorBidi"/>
          <w:b/>
          <w:bCs/>
          <w:sz w:val="24"/>
          <w:szCs w:val="24"/>
          <w:bdr w:val="none" w:sz="0" w:space="0" w:color="auto" w:frame="1"/>
          <w:lang w:eastAsia="fr-FR"/>
        </w:rPr>
        <w:lastRenderedPageBreak/>
        <w:t>3.3. Autres méthodes générales d’étude des hématies.</w:t>
      </w:r>
    </w:p>
    <w:p w14:paraId="6F79FDF1"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 </w:t>
      </w:r>
    </w:p>
    <w:p w14:paraId="360FF572"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 xml:space="preserve">Test de </w:t>
      </w:r>
      <w:proofErr w:type="spellStart"/>
      <w:proofErr w:type="gramStart"/>
      <w:r w:rsidRPr="006A22FC">
        <w:rPr>
          <w:rFonts w:asciiTheme="majorBidi" w:eastAsia="Times New Roman" w:hAnsiTheme="majorBidi" w:cstheme="majorBidi"/>
          <w:b/>
          <w:bCs/>
          <w:sz w:val="24"/>
          <w:szCs w:val="24"/>
          <w:bdr w:val="none" w:sz="0" w:space="0" w:color="auto" w:frame="1"/>
          <w:lang w:eastAsia="fr-FR"/>
        </w:rPr>
        <w:t>Kleihauer</w:t>
      </w:r>
      <w:proofErr w:type="spellEnd"/>
      <w:r w:rsidRPr="006A22FC">
        <w:rPr>
          <w:rFonts w:asciiTheme="majorBidi" w:eastAsia="Times New Roman" w:hAnsiTheme="majorBidi" w:cstheme="majorBidi"/>
          <w:sz w:val="24"/>
          <w:szCs w:val="24"/>
          <w:lang w:eastAsia="fr-FR"/>
        </w:rPr>
        <w:t>:</w:t>
      </w:r>
      <w:proofErr w:type="gramEnd"/>
      <w:r w:rsidRPr="006A22FC">
        <w:rPr>
          <w:rFonts w:asciiTheme="majorBidi" w:eastAsia="Times New Roman" w:hAnsiTheme="majorBidi" w:cstheme="majorBidi"/>
          <w:sz w:val="24"/>
          <w:szCs w:val="24"/>
          <w:lang w:eastAsia="fr-FR"/>
        </w:rPr>
        <w:t xml:space="preserve"> recherche l'</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F dans les GR (décompte des hématies fœtales dans le sang maternel) par sa  résistance en milieu acide (HbA = soluble).</w:t>
      </w:r>
    </w:p>
    <w:p w14:paraId="1D47E9A9"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xml:space="preserve">Mise en évidence de l'hémoglobine H : formée de quatre chaînes </w:t>
      </w:r>
      <w:proofErr w:type="gramStart"/>
      <w:r w:rsidRPr="006A22FC">
        <w:rPr>
          <w:rFonts w:asciiTheme="majorBidi" w:eastAsia="Times New Roman" w:hAnsiTheme="majorBidi" w:cstheme="majorBidi"/>
          <w:sz w:val="24"/>
          <w:szCs w:val="24"/>
          <w:lang w:eastAsia="fr-FR"/>
        </w:rPr>
        <w:t>bêta;</w:t>
      </w:r>
      <w:proofErr w:type="gramEnd"/>
      <w:r w:rsidRPr="006A22FC">
        <w:rPr>
          <w:rFonts w:asciiTheme="majorBidi" w:eastAsia="Times New Roman" w:hAnsiTheme="majorBidi" w:cstheme="majorBidi"/>
          <w:sz w:val="24"/>
          <w:szCs w:val="24"/>
          <w:lang w:eastAsia="fr-FR"/>
        </w:rPr>
        <w:t xml:space="preserve"> elle précipite en présence de bleu de crésyl brillant (GR d'aspect en balle de golf)</w:t>
      </w:r>
    </w:p>
    <w:p w14:paraId="6ADBCAAA"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p w14:paraId="0CFAC689"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Recherche de corps de Heinz</w:t>
      </w:r>
      <w:r w:rsidRPr="006A22FC">
        <w:rPr>
          <w:rFonts w:asciiTheme="majorBidi" w:eastAsia="Times New Roman" w:hAnsiTheme="majorBidi" w:cstheme="majorBidi"/>
          <w:sz w:val="24"/>
          <w:szCs w:val="24"/>
          <w:lang w:eastAsia="fr-FR"/>
        </w:rPr>
        <w:t> : précipités d'</w:t>
      </w:r>
      <w:proofErr w:type="spellStart"/>
      <w:r w:rsidRPr="006A22FC">
        <w:rPr>
          <w:rFonts w:asciiTheme="majorBidi" w:eastAsia="Times New Roman" w:hAnsiTheme="majorBidi" w:cstheme="majorBidi"/>
          <w:sz w:val="24"/>
          <w:szCs w:val="24"/>
          <w:lang w:eastAsia="fr-FR"/>
        </w:rPr>
        <w:t>Hb</w:t>
      </w:r>
      <w:proofErr w:type="spellEnd"/>
      <w:r w:rsidRPr="006A22FC">
        <w:rPr>
          <w:rFonts w:asciiTheme="majorBidi" w:eastAsia="Times New Roman" w:hAnsiTheme="majorBidi" w:cstheme="majorBidi"/>
          <w:sz w:val="24"/>
          <w:szCs w:val="24"/>
          <w:lang w:eastAsia="fr-FR"/>
        </w:rPr>
        <w:t xml:space="preserve"> oxydée visualisés par ce colorant. Ces corps sont présents au cours de la crise hémolytique du déficit en G6PD, en cas d'intoxication chronique médicamenteuse épuisant les possibilités de régénération enzymatique. On en retrouve aussi </w:t>
      </w:r>
      <w:proofErr w:type="spellStart"/>
      <w:r w:rsidRPr="006A22FC">
        <w:rPr>
          <w:rFonts w:asciiTheme="majorBidi" w:eastAsia="Times New Roman" w:hAnsiTheme="majorBidi" w:cstheme="majorBidi"/>
          <w:sz w:val="24"/>
          <w:szCs w:val="24"/>
          <w:lang w:eastAsia="fr-FR"/>
        </w:rPr>
        <w:t>quelques uns</w:t>
      </w:r>
      <w:proofErr w:type="spellEnd"/>
      <w:r w:rsidRPr="006A22FC">
        <w:rPr>
          <w:rFonts w:asciiTheme="majorBidi" w:eastAsia="Times New Roman" w:hAnsiTheme="majorBidi" w:cstheme="majorBidi"/>
          <w:sz w:val="24"/>
          <w:szCs w:val="24"/>
          <w:lang w:eastAsia="fr-FR"/>
        </w:rPr>
        <w:t xml:space="preserve"> chez les splénectomisés, les prématurés et les nourrissons de moins de trois mois.</w:t>
      </w:r>
    </w:p>
    <w:p w14:paraId="0B9F231B"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p w14:paraId="73127229"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Résistance osmotique des hématies</w:t>
      </w:r>
      <w:r w:rsidRPr="006A22FC">
        <w:rPr>
          <w:rFonts w:asciiTheme="majorBidi" w:eastAsia="Times New Roman" w:hAnsiTheme="majorBidi" w:cstheme="majorBidi"/>
          <w:sz w:val="24"/>
          <w:szCs w:val="24"/>
          <w:lang w:eastAsia="fr-FR"/>
        </w:rPr>
        <w:t> = résistance des hématies incubées dans des solutions de plus en plus hypotoniques. Résistance diminuée (= fragilité augmentée) dans la sphérocytose héréditaire et augmentée dans les thalassémies. Ce test est remplacé par le test EMA pour le diagnostic de la sphérocytose héréditaire (voir le document correspondant).</w:t>
      </w:r>
    </w:p>
    <w:p w14:paraId="25B2874E"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p w14:paraId="475663E4" w14:textId="6A5E8C0A"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Hémolyse physiologique et pathologique. Voir « hémolyse et son exploration »</w:t>
      </w:r>
      <w:r w:rsidRPr="006A22FC">
        <w:rPr>
          <w:rFonts w:asciiTheme="majorBidi" w:eastAsia="Times New Roman" w:hAnsiTheme="majorBidi" w:cstheme="majorBidi"/>
          <w:sz w:val="24"/>
          <w:szCs w:val="24"/>
          <w:lang w:eastAsia="fr-FR"/>
        </w:rPr>
        <w:t> </w:t>
      </w:r>
    </w:p>
    <w:p w14:paraId="584302EF" w14:textId="5FE2B47E" w:rsidR="00A55DFF" w:rsidRPr="006A22FC" w:rsidRDefault="00A55DFF" w:rsidP="00C92CAE">
      <w:pPr>
        <w:spacing w:after="0" w:line="240" w:lineRule="auto"/>
        <w:ind w:firstLine="708"/>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b/>
          <w:bCs/>
          <w:sz w:val="24"/>
          <w:szCs w:val="24"/>
          <w:bdr w:val="none" w:sz="0" w:space="0" w:color="auto" w:frame="1"/>
          <w:lang w:eastAsia="fr-FR"/>
        </w:rPr>
        <w:t>Coloration de Perls</w:t>
      </w:r>
      <w:r w:rsidRPr="006A22FC">
        <w:rPr>
          <w:rFonts w:asciiTheme="majorBidi" w:eastAsia="Times New Roman" w:hAnsiTheme="majorBidi" w:cstheme="majorBidi"/>
          <w:sz w:val="24"/>
          <w:szCs w:val="24"/>
          <w:lang w:eastAsia="fr-FR"/>
        </w:rPr>
        <w:t xml:space="preserve"> : mise en évidence de corps de </w:t>
      </w:r>
      <w:proofErr w:type="spellStart"/>
      <w:r w:rsidRPr="006A22FC">
        <w:rPr>
          <w:rFonts w:asciiTheme="majorBidi" w:eastAsia="Times New Roman" w:hAnsiTheme="majorBidi" w:cstheme="majorBidi"/>
          <w:sz w:val="24"/>
          <w:szCs w:val="24"/>
          <w:lang w:eastAsia="fr-FR"/>
        </w:rPr>
        <w:t>Pappenheimer</w:t>
      </w:r>
      <w:proofErr w:type="spellEnd"/>
      <w:r w:rsidRPr="006A22FC">
        <w:rPr>
          <w:rFonts w:asciiTheme="majorBidi" w:eastAsia="Times New Roman" w:hAnsiTheme="majorBidi" w:cstheme="majorBidi"/>
          <w:sz w:val="24"/>
          <w:szCs w:val="24"/>
          <w:lang w:eastAsia="fr-FR"/>
        </w:rPr>
        <w:t xml:space="preserve"> des GR et plus généralement du fer (voir la rubrique spécifique).</w:t>
      </w:r>
    </w:p>
    <w:p w14:paraId="173341B5" w14:textId="77777777" w:rsidR="00C92CAE" w:rsidRPr="006A22FC" w:rsidRDefault="00C92CAE" w:rsidP="00C92CAE">
      <w:pPr>
        <w:spacing w:after="0" w:line="240" w:lineRule="auto"/>
        <w:ind w:firstLine="708"/>
        <w:jc w:val="both"/>
        <w:textAlignment w:val="baseline"/>
        <w:rPr>
          <w:rFonts w:asciiTheme="majorBidi" w:eastAsia="Times New Roman" w:hAnsiTheme="majorBidi" w:cstheme="majorBidi"/>
          <w:sz w:val="24"/>
          <w:szCs w:val="24"/>
          <w:lang w:eastAsia="fr-FR"/>
        </w:rPr>
      </w:pPr>
    </w:p>
    <w:p w14:paraId="78172D2B" w14:textId="1D4E4CBD"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r w:rsidRPr="006A22FC">
        <w:rPr>
          <w:rFonts w:asciiTheme="majorBidi" w:eastAsia="Times New Roman" w:hAnsiTheme="majorBidi" w:cstheme="majorBidi"/>
          <w:b/>
          <w:bCs/>
          <w:sz w:val="24"/>
          <w:szCs w:val="24"/>
          <w:bdr w:val="none" w:sz="0" w:space="0" w:color="auto" w:frame="1"/>
          <w:lang w:eastAsia="fr-FR"/>
        </w:rPr>
        <w:t>Conclusion : </w:t>
      </w:r>
      <w:r w:rsidRPr="006A22FC">
        <w:rPr>
          <w:rFonts w:asciiTheme="majorBidi" w:eastAsia="Times New Roman" w:hAnsiTheme="majorBidi" w:cstheme="majorBidi"/>
          <w:sz w:val="24"/>
          <w:szCs w:val="24"/>
          <w:lang w:eastAsia="fr-FR"/>
        </w:rPr>
        <w:t>L'intégrité de l'ensemble des paramètres de la numération globulaire assure du fonctionnement normal de l'érythropoïèse.</w:t>
      </w:r>
    </w:p>
    <w:p w14:paraId="2C2CC01C"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L'hémogramme est l'examen biologique le plus prescrit en France.</w:t>
      </w:r>
    </w:p>
    <w:p w14:paraId="4BD2C4D1"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p w14:paraId="6FD56D2D" w14:textId="77777777" w:rsidR="00A55DFF" w:rsidRPr="006A22FC" w:rsidRDefault="00A55DFF" w:rsidP="00C92CAE">
      <w:pPr>
        <w:spacing w:after="0" w:line="240" w:lineRule="auto"/>
        <w:jc w:val="both"/>
        <w:textAlignment w:val="baseline"/>
        <w:rPr>
          <w:rFonts w:asciiTheme="majorBidi" w:eastAsia="Times New Roman" w:hAnsiTheme="majorBidi" w:cstheme="majorBidi"/>
          <w:sz w:val="24"/>
          <w:szCs w:val="24"/>
          <w:lang w:eastAsia="fr-FR"/>
        </w:rPr>
      </w:pPr>
      <w:r w:rsidRPr="006A22FC">
        <w:rPr>
          <w:rFonts w:asciiTheme="majorBidi" w:eastAsia="Times New Roman" w:hAnsiTheme="majorBidi" w:cstheme="majorBidi"/>
          <w:sz w:val="24"/>
          <w:szCs w:val="24"/>
          <w:lang w:eastAsia="fr-FR"/>
        </w:rPr>
        <w:t> </w:t>
      </w:r>
    </w:p>
    <w:sectPr w:rsidR="00A55DFF" w:rsidRPr="006A22FC" w:rsidSect="00511360">
      <w:headerReference w:type="default" r:id="rId19"/>
      <w:footerReference w:type="default" r:id="rId20"/>
      <w:pgSz w:w="11906" w:h="16838"/>
      <w:pgMar w:top="1417" w:right="1417" w:bottom="1417" w:left="1417" w:header="708" w:footer="708"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16E3A" w14:textId="77777777" w:rsidR="00582143" w:rsidRDefault="00582143" w:rsidP="00C92CAE">
      <w:pPr>
        <w:spacing w:after="0" w:line="240" w:lineRule="auto"/>
      </w:pPr>
      <w:r>
        <w:separator/>
      </w:r>
    </w:p>
  </w:endnote>
  <w:endnote w:type="continuationSeparator" w:id="0">
    <w:p w14:paraId="43B8977A" w14:textId="77777777" w:rsidR="00582143" w:rsidRDefault="00582143" w:rsidP="00C92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993242"/>
      <w:docPartObj>
        <w:docPartGallery w:val="Page Numbers (Bottom of Page)"/>
        <w:docPartUnique/>
      </w:docPartObj>
    </w:sdtPr>
    <w:sdtEndPr/>
    <w:sdtContent>
      <w:p w14:paraId="3E4DBD17" w14:textId="2AD233C1" w:rsidR="00511360" w:rsidRDefault="00511360">
        <w:pPr>
          <w:pStyle w:val="Pieddepage"/>
          <w:jc w:val="right"/>
        </w:pPr>
        <w:r>
          <w:fldChar w:fldCharType="begin"/>
        </w:r>
        <w:r>
          <w:instrText>PAGE   \* MERGEFORMAT</w:instrText>
        </w:r>
        <w:r>
          <w:fldChar w:fldCharType="separate"/>
        </w:r>
        <w:r>
          <w:t>2</w:t>
        </w:r>
        <w:r>
          <w:fldChar w:fldCharType="end"/>
        </w:r>
      </w:p>
    </w:sdtContent>
  </w:sdt>
  <w:p w14:paraId="7F454B45" w14:textId="77777777" w:rsidR="00511360" w:rsidRDefault="005113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DFB74" w14:textId="77777777" w:rsidR="00582143" w:rsidRDefault="00582143" w:rsidP="00C92CAE">
      <w:pPr>
        <w:spacing w:after="0" w:line="240" w:lineRule="auto"/>
      </w:pPr>
      <w:r>
        <w:separator/>
      </w:r>
    </w:p>
  </w:footnote>
  <w:footnote w:type="continuationSeparator" w:id="0">
    <w:p w14:paraId="36F61723" w14:textId="77777777" w:rsidR="00582143" w:rsidRDefault="00582143" w:rsidP="00C92C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DA524" w14:textId="77777777" w:rsidR="00511360" w:rsidRPr="00F4797E" w:rsidRDefault="00511360" w:rsidP="00511360">
    <w:pPr>
      <w:pStyle w:val="En-tte"/>
      <w:rPr>
        <w:rFonts w:asciiTheme="majorBidi" w:hAnsiTheme="majorBidi" w:cstheme="majorBidi"/>
        <w:b/>
        <w:bCs/>
      </w:rPr>
    </w:pPr>
    <w:r w:rsidRPr="00F4797E">
      <w:rPr>
        <w:rFonts w:asciiTheme="majorBidi" w:hAnsiTheme="majorBidi" w:cstheme="majorBidi"/>
        <w:b/>
        <w:bCs/>
      </w:rPr>
      <w:t>Module Hématologie Présenté par Mme BENAHMED F.</w:t>
    </w:r>
  </w:p>
  <w:p w14:paraId="73E54F89" w14:textId="37F148FF" w:rsidR="00511360" w:rsidRPr="00F4797E" w:rsidRDefault="00511360" w:rsidP="00511360">
    <w:pPr>
      <w:pStyle w:val="En-tte"/>
      <w:rPr>
        <w:rFonts w:asciiTheme="majorBidi" w:hAnsiTheme="majorBidi" w:cstheme="majorBidi"/>
        <w:b/>
        <w:bCs/>
      </w:rPr>
    </w:pPr>
    <w:r w:rsidRPr="00F4797E">
      <w:rPr>
        <w:rFonts w:asciiTheme="majorBidi" w:hAnsiTheme="majorBidi" w:cstheme="majorBidi"/>
        <w:b/>
        <w:bCs/>
      </w:rPr>
      <w:t>Master 1 Biochimie appliquée (20</w:t>
    </w:r>
    <w:r w:rsidR="006B513D">
      <w:rPr>
        <w:rFonts w:asciiTheme="majorBidi" w:hAnsiTheme="majorBidi" w:cstheme="majorBidi"/>
        <w:b/>
        <w:bCs/>
      </w:rPr>
      <w:t>20</w:t>
    </w:r>
    <w:r w:rsidRPr="00F4797E">
      <w:rPr>
        <w:rFonts w:asciiTheme="majorBidi" w:hAnsiTheme="majorBidi" w:cstheme="majorBidi"/>
        <w:b/>
        <w:bCs/>
      </w:rPr>
      <w:t>/202</w:t>
    </w:r>
    <w:r w:rsidR="006B513D">
      <w:rPr>
        <w:rFonts w:asciiTheme="majorBidi" w:hAnsiTheme="majorBidi" w:cstheme="majorBidi"/>
        <w:b/>
        <w:bCs/>
      </w:rPr>
      <w:t>1</w:t>
    </w:r>
    <w:r w:rsidRPr="00F4797E">
      <w:rPr>
        <w:rFonts w:asciiTheme="majorBidi" w:hAnsiTheme="majorBidi" w:cstheme="majorBidi"/>
        <w:b/>
        <w:b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890FB0"/>
    <w:multiLevelType w:val="hybridMultilevel"/>
    <w:tmpl w:val="9208DAD8"/>
    <w:lvl w:ilvl="0" w:tplc="B3AAF1BE">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DFF"/>
    <w:rsid w:val="00511360"/>
    <w:rsid w:val="00582143"/>
    <w:rsid w:val="005B5A16"/>
    <w:rsid w:val="00653FEC"/>
    <w:rsid w:val="006A22FC"/>
    <w:rsid w:val="006B513D"/>
    <w:rsid w:val="00A55DFF"/>
    <w:rsid w:val="00AB5082"/>
    <w:rsid w:val="00AF6474"/>
    <w:rsid w:val="00C92CAE"/>
    <w:rsid w:val="00D86591"/>
    <w:rsid w:val="00E66F3F"/>
    <w:rsid w:val="00F376F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F0EF6"/>
  <w15:chartTrackingRefBased/>
  <w15:docId w15:val="{53125E7B-D601-464B-9027-46CE24022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link w:val="Titre3Car"/>
    <w:uiPriority w:val="9"/>
    <w:qFormat/>
    <w:rsid w:val="00A55DFF"/>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4">
    <w:name w:val="heading 4"/>
    <w:basedOn w:val="Normal"/>
    <w:link w:val="Titre4Car"/>
    <w:uiPriority w:val="9"/>
    <w:qFormat/>
    <w:rsid w:val="00A55DFF"/>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Titre5">
    <w:name w:val="heading 5"/>
    <w:basedOn w:val="Normal"/>
    <w:link w:val="Titre5Car"/>
    <w:uiPriority w:val="9"/>
    <w:qFormat/>
    <w:rsid w:val="00A55DFF"/>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A55DFF"/>
    <w:rPr>
      <w:rFonts w:ascii="Times New Roman" w:eastAsia="Times New Roman" w:hAnsi="Times New Roman" w:cs="Times New Roman"/>
      <w:b/>
      <w:bCs/>
      <w:sz w:val="27"/>
      <w:szCs w:val="27"/>
      <w:lang w:eastAsia="fr-FR"/>
    </w:rPr>
  </w:style>
  <w:style w:type="character" w:customStyle="1" w:styleId="Titre4Car">
    <w:name w:val="Titre 4 Car"/>
    <w:basedOn w:val="Policepardfaut"/>
    <w:link w:val="Titre4"/>
    <w:uiPriority w:val="9"/>
    <w:rsid w:val="00A55DFF"/>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uiPriority w:val="9"/>
    <w:rsid w:val="00A55DFF"/>
    <w:rPr>
      <w:rFonts w:ascii="Times New Roman" w:eastAsia="Times New Roman" w:hAnsi="Times New Roman" w:cs="Times New Roman"/>
      <w:b/>
      <w:bCs/>
      <w:sz w:val="20"/>
      <w:szCs w:val="20"/>
      <w:lang w:eastAsia="fr-FR"/>
    </w:rPr>
  </w:style>
  <w:style w:type="character" w:styleId="lev">
    <w:name w:val="Strong"/>
    <w:basedOn w:val="Policepardfaut"/>
    <w:uiPriority w:val="22"/>
    <w:qFormat/>
    <w:rsid w:val="00A55DFF"/>
    <w:rPr>
      <w:b/>
      <w:bCs/>
    </w:rPr>
  </w:style>
  <w:style w:type="paragraph" w:styleId="NormalWeb">
    <w:name w:val="Normal (Web)"/>
    <w:basedOn w:val="Normal"/>
    <w:uiPriority w:val="99"/>
    <w:semiHidden/>
    <w:unhideWhenUsed/>
    <w:rsid w:val="00A55DF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A55DFF"/>
    <w:rPr>
      <w:i/>
      <w:iCs/>
    </w:rPr>
  </w:style>
  <w:style w:type="paragraph" w:styleId="Paragraphedeliste">
    <w:name w:val="List Paragraph"/>
    <w:basedOn w:val="Normal"/>
    <w:uiPriority w:val="34"/>
    <w:qFormat/>
    <w:rsid w:val="00E66F3F"/>
    <w:pPr>
      <w:ind w:left="720"/>
      <w:contextualSpacing/>
    </w:pPr>
  </w:style>
  <w:style w:type="paragraph" w:styleId="En-tte">
    <w:name w:val="header"/>
    <w:basedOn w:val="Normal"/>
    <w:link w:val="En-tteCar"/>
    <w:uiPriority w:val="99"/>
    <w:unhideWhenUsed/>
    <w:rsid w:val="00C92CAE"/>
    <w:pPr>
      <w:tabs>
        <w:tab w:val="center" w:pos="4536"/>
        <w:tab w:val="right" w:pos="9072"/>
      </w:tabs>
      <w:spacing w:after="0" w:line="240" w:lineRule="auto"/>
    </w:pPr>
  </w:style>
  <w:style w:type="character" w:customStyle="1" w:styleId="En-tteCar">
    <w:name w:val="En-tête Car"/>
    <w:basedOn w:val="Policepardfaut"/>
    <w:link w:val="En-tte"/>
    <w:uiPriority w:val="99"/>
    <w:rsid w:val="00C92CAE"/>
  </w:style>
  <w:style w:type="paragraph" w:styleId="Pieddepage">
    <w:name w:val="footer"/>
    <w:basedOn w:val="Normal"/>
    <w:link w:val="PieddepageCar"/>
    <w:uiPriority w:val="99"/>
    <w:unhideWhenUsed/>
    <w:rsid w:val="00C92CA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2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470254">
      <w:bodyDiv w:val="1"/>
      <w:marLeft w:val="0"/>
      <w:marRight w:val="0"/>
      <w:marTop w:val="0"/>
      <w:marBottom w:val="0"/>
      <w:divBdr>
        <w:top w:val="none" w:sz="0" w:space="0" w:color="auto"/>
        <w:left w:val="none" w:sz="0" w:space="0" w:color="auto"/>
        <w:bottom w:val="none" w:sz="0" w:space="0" w:color="auto"/>
        <w:right w:val="none" w:sz="0" w:space="0" w:color="auto"/>
      </w:divBdr>
      <w:divsChild>
        <w:div w:id="1788550550">
          <w:marLeft w:val="0"/>
          <w:marRight w:val="0"/>
          <w:marTop w:val="0"/>
          <w:marBottom w:val="0"/>
          <w:divBdr>
            <w:top w:val="none" w:sz="0" w:space="0" w:color="auto"/>
            <w:left w:val="none" w:sz="0" w:space="0" w:color="auto"/>
            <w:bottom w:val="none" w:sz="0" w:space="0" w:color="auto"/>
            <w:right w:val="none" w:sz="0" w:space="0" w:color="auto"/>
          </w:divBdr>
          <w:divsChild>
            <w:div w:id="2080666635">
              <w:marLeft w:val="0"/>
              <w:marRight w:val="0"/>
              <w:marTop w:val="0"/>
              <w:marBottom w:val="0"/>
              <w:divBdr>
                <w:top w:val="none" w:sz="0" w:space="0" w:color="auto"/>
                <w:left w:val="none" w:sz="0" w:space="0" w:color="auto"/>
                <w:bottom w:val="none" w:sz="0" w:space="0" w:color="auto"/>
                <w:right w:val="none" w:sz="0" w:space="0" w:color="auto"/>
              </w:divBdr>
              <w:divsChild>
                <w:div w:id="1011370372">
                  <w:marLeft w:val="0"/>
                  <w:marRight w:val="0"/>
                  <w:marTop w:val="0"/>
                  <w:marBottom w:val="0"/>
                  <w:divBdr>
                    <w:top w:val="none" w:sz="0" w:space="0" w:color="auto"/>
                    <w:left w:val="none" w:sz="0" w:space="0" w:color="auto"/>
                    <w:bottom w:val="none" w:sz="0" w:space="0" w:color="auto"/>
                    <w:right w:val="none" w:sz="0" w:space="0" w:color="auto"/>
                  </w:divBdr>
                  <w:divsChild>
                    <w:div w:id="1602453121">
                      <w:marLeft w:val="0"/>
                      <w:marRight w:val="0"/>
                      <w:marTop w:val="0"/>
                      <w:marBottom w:val="0"/>
                      <w:divBdr>
                        <w:top w:val="none" w:sz="0" w:space="0" w:color="auto"/>
                        <w:left w:val="none" w:sz="0" w:space="0" w:color="auto"/>
                        <w:bottom w:val="none" w:sz="0" w:space="0" w:color="auto"/>
                        <w:right w:val="none" w:sz="0" w:space="0" w:color="auto"/>
                      </w:divBdr>
                      <w:divsChild>
                        <w:div w:id="156868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hematocell.fr/images/Enseignements-Hematologie-Cellulaire/globules-rouges-et-leur-pathologie/physiologie-globule-rouge/image002.png" TargetMode="External"/><Relationship Id="rId12" Type="http://schemas.openxmlformats.org/officeDocument/2006/relationships/image" Target="media/image4.pn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www.hematocell.fr/images/Enseignements-Hematologie-Cellulaire/globules-rouges-et-leur-pathologie/physiologie-globule-rouge/image014.jp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hematocell.fr/images/Enseignements-Hematologie-Cellulaire/globules-rouges-et-leur-pathologie/physiologie-globule-rouge/image004.png" TargetMode="External"/><Relationship Id="rId14" Type="http://schemas.openxmlformats.org/officeDocument/2006/relationships/hyperlink" Target="http://www.hematocell.fr/images/Enseignements-Hematologie-Cellulaire/globules-rouges-et-leur-pathologie/physiologie-globule-rouge/image012.jpg"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2342</Words>
  <Characters>12884</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yousra benahmed</dc:creator>
  <cp:keywords/>
  <dc:description/>
  <cp:lastModifiedBy>yousra benahmed</cp:lastModifiedBy>
  <cp:revision>5</cp:revision>
  <cp:lastPrinted>2021-04-25T06:26:00Z</cp:lastPrinted>
  <dcterms:created xsi:type="dcterms:W3CDTF">2020-03-10T16:59:00Z</dcterms:created>
  <dcterms:modified xsi:type="dcterms:W3CDTF">2021-04-25T06:27:00Z</dcterms:modified>
</cp:coreProperties>
</file>